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3D" w:rsidRPr="00245EF8" w:rsidRDefault="00EA783D" w:rsidP="00EA783D">
      <w:pPr>
        <w:spacing w:line="240" w:lineRule="auto"/>
        <w:jc w:val="both"/>
        <w:rPr>
          <w:rStyle w:val="CharacterStyle1"/>
          <w:rFonts w:ascii="Times New Roman" w:hAnsi="Times New Roman"/>
          <w:b/>
          <w:bCs/>
          <w:sz w:val="26"/>
          <w:szCs w:val="26"/>
          <w:lang w:val="es-ES" w:eastAsia="es-ES"/>
        </w:rPr>
      </w:pPr>
    </w:p>
    <w:p w:rsidR="00EA783D" w:rsidRPr="00245EF8" w:rsidRDefault="00EA783D" w:rsidP="00EA783D">
      <w:pPr>
        <w:spacing w:line="240" w:lineRule="auto"/>
        <w:jc w:val="center"/>
        <w:rPr>
          <w:rStyle w:val="CharacterStyle1"/>
          <w:rFonts w:ascii="Times New Roman" w:hAnsi="Times New Roman"/>
          <w:b/>
          <w:bCs/>
          <w:sz w:val="26"/>
          <w:szCs w:val="26"/>
          <w:lang w:val="es-ES" w:eastAsia="es-ES"/>
        </w:rPr>
      </w:pPr>
      <w:r w:rsidRPr="00245EF8">
        <w:rPr>
          <w:rStyle w:val="CharacterStyle1"/>
          <w:rFonts w:ascii="Times New Roman" w:hAnsi="Times New Roman"/>
          <w:b/>
          <w:bCs/>
          <w:sz w:val="26"/>
          <w:szCs w:val="26"/>
          <w:lang w:val="es-ES" w:eastAsia="es-ES"/>
        </w:rPr>
        <w:t>RESOLUCIÓN No. TAT-</w:t>
      </w:r>
      <w:r>
        <w:rPr>
          <w:rStyle w:val="CharacterStyle1"/>
          <w:rFonts w:ascii="Times New Roman" w:hAnsi="Times New Roman"/>
          <w:b/>
          <w:bCs/>
          <w:sz w:val="26"/>
          <w:szCs w:val="26"/>
          <w:lang w:val="es-ES" w:eastAsia="es-ES"/>
        </w:rPr>
        <w:t>2845</w:t>
      </w:r>
      <w:r w:rsidRPr="00245EF8">
        <w:rPr>
          <w:rStyle w:val="CharacterStyle1"/>
          <w:rFonts w:ascii="Times New Roman" w:hAnsi="Times New Roman"/>
          <w:b/>
          <w:bCs/>
          <w:sz w:val="26"/>
          <w:szCs w:val="26"/>
          <w:lang w:val="es-ES" w:eastAsia="es-ES"/>
        </w:rPr>
        <w:t>-2015</w:t>
      </w:r>
    </w:p>
    <w:p w:rsidR="00EA783D" w:rsidRPr="00245EF8" w:rsidRDefault="00EA783D" w:rsidP="00EA783D">
      <w:pPr>
        <w:spacing w:line="240" w:lineRule="auto"/>
        <w:jc w:val="both"/>
        <w:rPr>
          <w:rStyle w:val="CharacterStyle1"/>
          <w:rFonts w:ascii="Times New Roman" w:hAnsi="Times New Roman"/>
          <w:b/>
          <w:bCs/>
          <w:spacing w:val="5"/>
          <w:sz w:val="26"/>
          <w:szCs w:val="26"/>
          <w:lang w:val="es-ES" w:eastAsia="es-ES"/>
        </w:rPr>
      </w:pPr>
    </w:p>
    <w:p w:rsidR="00EA783D" w:rsidRPr="00245EF8" w:rsidRDefault="00EA783D" w:rsidP="00EA783D">
      <w:pPr>
        <w:spacing w:line="240" w:lineRule="auto"/>
        <w:jc w:val="both"/>
        <w:rPr>
          <w:rStyle w:val="CharacterStyle1"/>
          <w:rFonts w:ascii="Times New Roman" w:hAnsi="Times New Roman"/>
          <w:spacing w:val="4"/>
          <w:sz w:val="26"/>
          <w:szCs w:val="26"/>
          <w:lang w:val="es-ES" w:eastAsia="es-ES"/>
        </w:rPr>
      </w:pPr>
      <w:r w:rsidRPr="00245EF8">
        <w:rPr>
          <w:rStyle w:val="CharacterStyle1"/>
          <w:rFonts w:ascii="Times New Roman" w:hAnsi="Times New Roman"/>
          <w:b/>
          <w:bCs/>
          <w:spacing w:val="5"/>
          <w:sz w:val="26"/>
          <w:szCs w:val="26"/>
          <w:lang w:val="es-ES" w:eastAsia="es-ES"/>
        </w:rPr>
        <w:t xml:space="preserve">TRIBUNAL ADMINISTRATIVO DE TRANSPORTE.- </w:t>
      </w:r>
      <w:r>
        <w:rPr>
          <w:rStyle w:val="CharacterStyle1"/>
          <w:rFonts w:ascii="Times New Roman" w:hAnsi="Times New Roman"/>
          <w:spacing w:val="5"/>
          <w:sz w:val="26"/>
          <w:szCs w:val="26"/>
          <w:lang w:val="es-ES" w:eastAsia="es-ES"/>
        </w:rPr>
        <w:t>San José, a las 10:15</w:t>
      </w:r>
      <w:r w:rsidRPr="00245EF8">
        <w:rPr>
          <w:rStyle w:val="CharacterStyle1"/>
          <w:rFonts w:ascii="Times New Roman" w:hAnsi="Times New Roman"/>
          <w:spacing w:val="5"/>
          <w:sz w:val="26"/>
          <w:szCs w:val="26"/>
          <w:lang w:val="es-ES" w:eastAsia="es-ES"/>
        </w:rPr>
        <w:t xml:space="preserve"> horas </w:t>
      </w:r>
      <w:r w:rsidRPr="00245EF8">
        <w:rPr>
          <w:rStyle w:val="CharacterStyle1"/>
          <w:rFonts w:ascii="Times New Roman" w:hAnsi="Times New Roman"/>
          <w:spacing w:val="4"/>
          <w:sz w:val="26"/>
          <w:szCs w:val="26"/>
          <w:lang w:val="es-ES" w:eastAsia="es-ES"/>
        </w:rPr>
        <w:t xml:space="preserve">del día </w:t>
      </w:r>
      <w:r>
        <w:rPr>
          <w:rStyle w:val="CharacterStyle1"/>
          <w:rFonts w:ascii="Times New Roman" w:hAnsi="Times New Roman"/>
          <w:spacing w:val="4"/>
          <w:sz w:val="26"/>
          <w:szCs w:val="26"/>
          <w:lang w:val="es-ES" w:eastAsia="es-ES"/>
        </w:rPr>
        <w:t>Catorce</w:t>
      </w:r>
      <w:r w:rsidRPr="00245EF8">
        <w:rPr>
          <w:rStyle w:val="CharacterStyle1"/>
          <w:rFonts w:ascii="Times New Roman" w:hAnsi="Times New Roman"/>
          <w:spacing w:val="4"/>
          <w:sz w:val="26"/>
          <w:szCs w:val="26"/>
          <w:lang w:val="es-ES" w:eastAsia="es-ES"/>
        </w:rPr>
        <w:t xml:space="preserve"> del mes de </w:t>
      </w:r>
      <w:r>
        <w:rPr>
          <w:rStyle w:val="CharacterStyle1"/>
          <w:rFonts w:ascii="Times New Roman" w:hAnsi="Times New Roman"/>
          <w:spacing w:val="4"/>
          <w:sz w:val="26"/>
          <w:szCs w:val="26"/>
          <w:lang w:val="es-ES" w:eastAsia="es-ES"/>
        </w:rPr>
        <w:t>Diciembre</w:t>
      </w:r>
      <w:r w:rsidRPr="00245EF8">
        <w:rPr>
          <w:rStyle w:val="CharacterStyle1"/>
          <w:rFonts w:ascii="Times New Roman" w:hAnsi="Times New Roman"/>
          <w:spacing w:val="4"/>
          <w:sz w:val="26"/>
          <w:szCs w:val="26"/>
          <w:lang w:val="es-ES" w:eastAsia="es-ES"/>
        </w:rPr>
        <w:t xml:space="preserve"> del Dos Mil Quin</w:t>
      </w:r>
      <w:r>
        <w:rPr>
          <w:rStyle w:val="CharacterStyle1"/>
          <w:rFonts w:ascii="Times New Roman" w:hAnsi="Times New Roman"/>
          <w:spacing w:val="4"/>
          <w:sz w:val="26"/>
          <w:szCs w:val="26"/>
          <w:lang w:val="es-ES" w:eastAsia="es-ES"/>
        </w:rPr>
        <w:t>ce.--------------------</w:t>
      </w:r>
    </w:p>
    <w:p w:rsidR="00EA783D" w:rsidRPr="00245EF8" w:rsidRDefault="00EA783D" w:rsidP="00EA783D">
      <w:pPr>
        <w:pStyle w:val="Sinespaciado"/>
        <w:jc w:val="both"/>
        <w:rPr>
          <w:rStyle w:val="CharacterStyle1"/>
          <w:rFonts w:ascii="Times New Roman" w:hAnsi="Times New Roman" w:cs="Times New Roman"/>
          <w:spacing w:val="4"/>
          <w:sz w:val="26"/>
          <w:szCs w:val="26"/>
          <w:lang w:val="es-ES" w:eastAsia="es-ES"/>
        </w:rPr>
      </w:pPr>
    </w:p>
    <w:p w:rsidR="00EA783D" w:rsidRPr="00245EF8" w:rsidRDefault="00EA783D" w:rsidP="00EA783D">
      <w:pPr>
        <w:spacing w:line="240" w:lineRule="auto"/>
        <w:jc w:val="both"/>
        <w:rPr>
          <w:rFonts w:ascii="Times New Roman" w:hAnsi="Times New Roman"/>
          <w:b/>
          <w:sz w:val="26"/>
          <w:szCs w:val="26"/>
          <w:lang w:val="es-ES"/>
        </w:rPr>
      </w:pPr>
      <w:r w:rsidRPr="00245EF8">
        <w:rPr>
          <w:rFonts w:ascii="Times New Roman" w:hAnsi="Times New Roman"/>
          <w:sz w:val="26"/>
          <w:szCs w:val="26"/>
          <w:lang w:val="es-ES"/>
        </w:rPr>
        <w:t xml:space="preserve">Se conoce por este medio de </w:t>
      </w:r>
      <w:r w:rsidRPr="00245EF8">
        <w:rPr>
          <w:rFonts w:ascii="Times New Roman" w:hAnsi="Times New Roman"/>
          <w:b/>
          <w:sz w:val="26"/>
          <w:szCs w:val="26"/>
          <w:lang w:val="es-ES"/>
        </w:rPr>
        <w:t xml:space="preserve">RECURSO DE APELACIÓN EN SUBSIDIO </w:t>
      </w:r>
      <w:r w:rsidRPr="00245EF8">
        <w:rPr>
          <w:rFonts w:ascii="Times New Roman" w:hAnsi="Times New Roman"/>
          <w:sz w:val="26"/>
          <w:szCs w:val="26"/>
          <w:lang w:val="es-ES"/>
        </w:rPr>
        <w:t>y de</w:t>
      </w:r>
      <w:r w:rsidRPr="00245EF8">
        <w:rPr>
          <w:rFonts w:ascii="Times New Roman" w:hAnsi="Times New Roman"/>
          <w:b/>
          <w:sz w:val="26"/>
          <w:szCs w:val="26"/>
          <w:lang w:val="es-ES"/>
        </w:rPr>
        <w:t xml:space="preserve"> GESTIÓN DE NO POSIBLE EJECUCIÓN (</w:t>
      </w:r>
      <w:r w:rsidRPr="00245EF8">
        <w:rPr>
          <w:rFonts w:ascii="Times New Roman" w:hAnsi="Times New Roman"/>
          <w:b/>
          <w:i/>
          <w:sz w:val="26"/>
          <w:szCs w:val="26"/>
          <w:lang w:val="es-ES"/>
        </w:rPr>
        <w:t>CADUCIDAD</w:t>
      </w:r>
      <w:r>
        <w:rPr>
          <w:rFonts w:ascii="Times New Roman" w:hAnsi="Times New Roman"/>
          <w:b/>
          <w:i/>
          <w:sz w:val="26"/>
          <w:szCs w:val="26"/>
          <w:lang w:val="es-ES"/>
        </w:rPr>
        <w:t>)</w:t>
      </w:r>
      <w:r w:rsidRPr="00245EF8">
        <w:rPr>
          <w:rFonts w:ascii="Times New Roman" w:hAnsi="Times New Roman"/>
          <w:sz w:val="26"/>
          <w:szCs w:val="26"/>
          <w:lang w:val="es-ES"/>
        </w:rPr>
        <w:t xml:space="preserve">, presentados por el señor </w:t>
      </w:r>
      <w:r w:rsidR="007A2ADE">
        <w:rPr>
          <w:rFonts w:ascii="Times New Roman" w:hAnsi="Times New Roman"/>
          <w:b/>
          <w:i/>
          <w:sz w:val="26"/>
          <w:szCs w:val="26"/>
          <w:lang w:val="es-ES"/>
        </w:rPr>
        <w:t>JDEE</w:t>
      </w:r>
      <w:r w:rsidRPr="00245EF8">
        <w:rPr>
          <w:rFonts w:ascii="Times New Roman" w:hAnsi="Times New Roman"/>
          <w:sz w:val="26"/>
          <w:szCs w:val="26"/>
          <w:lang w:val="es-ES"/>
        </w:rPr>
        <w:t xml:space="preserve">, de calidades conocidas, portador de la cédula de identidad número </w:t>
      </w:r>
      <w:r w:rsidR="002330B3">
        <w:rPr>
          <w:rFonts w:ascii="Times New Roman" w:hAnsi="Times New Roman"/>
          <w:sz w:val="26"/>
          <w:szCs w:val="26"/>
          <w:lang w:val="es-ES"/>
        </w:rPr>
        <w:t>…..</w:t>
      </w:r>
      <w:r w:rsidRPr="00245EF8">
        <w:rPr>
          <w:rFonts w:ascii="Times New Roman" w:hAnsi="Times New Roman"/>
          <w:sz w:val="26"/>
          <w:szCs w:val="26"/>
          <w:lang w:val="es-ES"/>
        </w:rPr>
        <w:t xml:space="preserve">, en contra y en cuanto al Acuerdo No. 6.32 de la Sesión Extraordinaria No. 01-2010 de la Junta Directiva del Consejo de Transporte Público, del 25 de Enero del 2010.- </w:t>
      </w:r>
      <w:r w:rsidRPr="00245EF8">
        <w:rPr>
          <w:rFonts w:ascii="Times New Roman" w:hAnsi="Times New Roman"/>
          <w:b/>
          <w:i/>
          <w:sz w:val="26"/>
          <w:szCs w:val="26"/>
          <w:lang w:val="es-ES"/>
        </w:rPr>
        <w:t>EXPEDIENTE No. TAT-199-15.-</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spacing w:line="240" w:lineRule="auto"/>
        <w:jc w:val="center"/>
        <w:rPr>
          <w:rFonts w:ascii="Times New Roman" w:hAnsi="Times New Roman"/>
          <w:b/>
          <w:i/>
          <w:sz w:val="26"/>
          <w:szCs w:val="26"/>
          <w:lang w:val="es-ES"/>
        </w:rPr>
      </w:pPr>
      <w:r w:rsidRPr="00245EF8">
        <w:rPr>
          <w:rFonts w:ascii="Times New Roman" w:hAnsi="Times New Roman"/>
          <w:b/>
          <w:i/>
          <w:sz w:val="26"/>
          <w:szCs w:val="26"/>
          <w:lang w:val="es-ES"/>
        </w:rPr>
        <w:t>Resultando:</w:t>
      </w:r>
    </w:p>
    <w:p w:rsidR="00EA783D" w:rsidRPr="00E2174F" w:rsidRDefault="00EA783D" w:rsidP="00EA783D">
      <w:pPr>
        <w:pStyle w:val="Sinespaciado"/>
        <w:rPr>
          <w:sz w:val="16"/>
          <w:szCs w:val="16"/>
        </w:rPr>
      </w:pPr>
    </w:p>
    <w:p w:rsidR="00EA783D" w:rsidRPr="00245EF8" w:rsidRDefault="00EA783D" w:rsidP="00EA783D">
      <w:pPr>
        <w:spacing w:line="240" w:lineRule="auto"/>
        <w:jc w:val="both"/>
        <w:rPr>
          <w:rFonts w:ascii="Times New Roman" w:hAnsi="Times New Roman"/>
          <w:sz w:val="26"/>
          <w:szCs w:val="26"/>
          <w:lang w:val="es-ES"/>
        </w:rPr>
      </w:pPr>
      <w:r w:rsidRPr="00245EF8">
        <w:rPr>
          <w:rFonts w:ascii="Times New Roman" w:hAnsi="Times New Roman"/>
          <w:b/>
          <w:sz w:val="26"/>
          <w:szCs w:val="26"/>
        </w:rPr>
        <w:t>1.-</w:t>
      </w:r>
      <w:r w:rsidRPr="00245EF8">
        <w:rPr>
          <w:rFonts w:ascii="Times New Roman" w:hAnsi="Times New Roman"/>
          <w:sz w:val="26"/>
          <w:szCs w:val="26"/>
        </w:rPr>
        <w:tab/>
        <w:t xml:space="preserve">Mediante su </w:t>
      </w:r>
      <w:r w:rsidRPr="00245EF8">
        <w:rPr>
          <w:rFonts w:ascii="Times New Roman" w:hAnsi="Times New Roman"/>
          <w:sz w:val="26"/>
          <w:szCs w:val="26"/>
          <w:lang w:val="es-ES"/>
        </w:rPr>
        <w:t xml:space="preserve">Acuerdo No. 6.32 de su Sesión Extraordinaria No. 01-2010 del 25 de Enero del 2010, la Junta Directiva del Consejo de Transporte Público dispuso la Cancelación de la Concesión de Taxi Placas </w:t>
      </w:r>
      <w:r w:rsidR="002330B3">
        <w:rPr>
          <w:rFonts w:ascii="Times New Roman" w:hAnsi="Times New Roman"/>
          <w:sz w:val="26"/>
          <w:szCs w:val="26"/>
          <w:lang w:val="es-ES"/>
        </w:rPr>
        <w:t>…</w:t>
      </w:r>
      <w:r w:rsidRPr="00245EF8">
        <w:rPr>
          <w:rFonts w:ascii="Times New Roman" w:hAnsi="Times New Roman"/>
          <w:sz w:val="26"/>
          <w:szCs w:val="26"/>
          <w:lang w:val="es-ES"/>
        </w:rPr>
        <w:t xml:space="preserve">, detentada por el Señor </w:t>
      </w:r>
      <w:r w:rsidR="002330B3">
        <w:rPr>
          <w:rFonts w:ascii="Times New Roman" w:hAnsi="Times New Roman"/>
          <w:sz w:val="26"/>
          <w:szCs w:val="26"/>
          <w:lang w:val="es-ES"/>
        </w:rPr>
        <w:t>JDEE</w:t>
      </w:r>
      <w:r w:rsidRPr="00245EF8">
        <w:rPr>
          <w:rFonts w:ascii="Times New Roman" w:hAnsi="Times New Roman"/>
          <w:sz w:val="26"/>
          <w:szCs w:val="26"/>
          <w:lang w:val="es-ES"/>
        </w:rPr>
        <w:t>. Ordenando a las Autoridades respectivas la ejecución de tal disposición (desinscripción vehicular y captura de  placas).</w:t>
      </w:r>
    </w:p>
    <w:p w:rsidR="00EA783D" w:rsidRDefault="00EA783D" w:rsidP="00EA783D">
      <w:pPr>
        <w:pStyle w:val="Sinespaciado"/>
        <w:rPr>
          <w:lang w:val="es-ES"/>
        </w:rPr>
      </w:pPr>
    </w:p>
    <w:p w:rsidR="00EA783D" w:rsidRPr="00245EF8" w:rsidRDefault="00EA783D" w:rsidP="00EA783D">
      <w:pPr>
        <w:spacing w:line="240" w:lineRule="auto"/>
        <w:jc w:val="both"/>
        <w:rPr>
          <w:rFonts w:ascii="Times New Roman" w:hAnsi="Times New Roman"/>
          <w:sz w:val="26"/>
          <w:szCs w:val="26"/>
          <w:lang w:val="es-ES"/>
        </w:rPr>
      </w:pPr>
      <w:r w:rsidRPr="00245EF8">
        <w:rPr>
          <w:rFonts w:ascii="Times New Roman" w:hAnsi="Times New Roman"/>
          <w:b/>
          <w:sz w:val="26"/>
          <w:szCs w:val="26"/>
          <w:lang w:val="es-ES"/>
        </w:rPr>
        <w:t>2.-</w:t>
      </w:r>
      <w:r w:rsidRPr="00245EF8">
        <w:rPr>
          <w:rFonts w:ascii="Times New Roman" w:hAnsi="Times New Roman"/>
          <w:sz w:val="26"/>
          <w:szCs w:val="26"/>
          <w:lang w:val="es-ES"/>
        </w:rPr>
        <w:tab/>
        <w:t xml:space="preserve">En el mes de Marzo del año 2012 y mediante Memorial del día 06 de ese mes y año, el Señor </w:t>
      </w:r>
      <w:r w:rsidR="002330B3">
        <w:rPr>
          <w:rFonts w:ascii="Times New Roman" w:hAnsi="Times New Roman"/>
          <w:sz w:val="26"/>
          <w:szCs w:val="26"/>
          <w:lang w:val="es-ES"/>
        </w:rPr>
        <w:t xml:space="preserve">EE </w:t>
      </w:r>
      <w:r w:rsidRPr="00245EF8">
        <w:rPr>
          <w:rFonts w:ascii="Times New Roman" w:hAnsi="Times New Roman"/>
          <w:sz w:val="26"/>
          <w:szCs w:val="26"/>
          <w:lang w:val="es-ES"/>
        </w:rPr>
        <w:t>interpone formales Recursos Ordinarios y Petición de Caducidad en cuanto a la EJECUCIÓN del Acuerdo antes aludido; expresando que luego de DOS AÑOS de su firmeza, él mismo NO SE HA EJECUTADO y que él sigue operando la Concesión dicha. Reclamando que lo dispuesto en el Acuerdo de marras no puede Ejecutarse en razón del tiempo transcurrido y del fenecimiento de la potestad de ejecución del Consejo de Transporte Público, ante su propia inactividad.</w:t>
      </w:r>
    </w:p>
    <w:p w:rsidR="00EA783D" w:rsidRDefault="00EA783D" w:rsidP="00EA783D">
      <w:pPr>
        <w:spacing w:line="240" w:lineRule="auto"/>
        <w:jc w:val="both"/>
        <w:rPr>
          <w:rFonts w:ascii="Times New Roman" w:hAnsi="Times New Roman"/>
          <w:b/>
          <w:sz w:val="26"/>
          <w:szCs w:val="26"/>
          <w:lang w:val="es-ES"/>
        </w:rPr>
      </w:pPr>
    </w:p>
    <w:p w:rsidR="00EA783D" w:rsidRPr="00245EF8" w:rsidRDefault="00EA783D" w:rsidP="00EA783D">
      <w:pPr>
        <w:spacing w:line="240" w:lineRule="auto"/>
        <w:jc w:val="both"/>
        <w:rPr>
          <w:rFonts w:ascii="Times New Roman" w:hAnsi="Times New Roman"/>
          <w:sz w:val="26"/>
          <w:szCs w:val="26"/>
          <w:lang w:val="es-ES"/>
        </w:rPr>
      </w:pPr>
      <w:r w:rsidRPr="00245EF8">
        <w:rPr>
          <w:rFonts w:ascii="Times New Roman" w:hAnsi="Times New Roman"/>
          <w:b/>
          <w:sz w:val="26"/>
          <w:szCs w:val="26"/>
          <w:lang w:val="es-ES"/>
        </w:rPr>
        <w:t>3.-</w:t>
      </w:r>
      <w:r w:rsidRPr="00245EF8">
        <w:rPr>
          <w:rFonts w:ascii="Times New Roman" w:hAnsi="Times New Roman"/>
          <w:sz w:val="26"/>
          <w:szCs w:val="26"/>
          <w:lang w:val="es-ES"/>
        </w:rPr>
        <w:tab/>
        <w:t xml:space="preserve">Luego de dos años de presentada la Gestión aludida en el anterior Resultando y de cuatro años desde la firmeza del Acto Objetado, mediante su Acuerdo </w:t>
      </w:r>
      <w:r>
        <w:rPr>
          <w:rFonts w:ascii="Times New Roman" w:hAnsi="Times New Roman"/>
          <w:sz w:val="26"/>
          <w:szCs w:val="26"/>
          <w:lang w:val="es-ES"/>
        </w:rPr>
        <w:t>7.3 d</w:t>
      </w:r>
      <w:r w:rsidRPr="00245EF8">
        <w:rPr>
          <w:rFonts w:ascii="Times New Roman" w:hAnsi="Times New Roman"/>
          <w:sz w:val="26"/>
          <w:szCs w:val="26"/>
          <w:lang w:val="es-ES"/>
        </w:rPr>
        <w:t xml:space="preserve">e </w:t>
      </w:r>
      <w:r>
        <w:rPr>
          <w:rFonts w:ascii="Times New Roman" w:hAnsi="Times New Roman"/>
          <w:sz w:val="26"/>
          <w:szCs w:val="26"/>
          <w:lang w:val="es-ES"/>
        </w:rPr>
        <w:t>la</w:t>
      </w:r>
      <w:r w:rsidRPr="00245EF8">
        <w:rPr>
          <w:rFonts w:ascii="Times New Roman" w:hAnsi="Times New Roman"/>
          <w:sz w:val="26"/>
          <w:szCs w:val="26"/>
          <w:lang w:val="es-ES"/>
        </w:rPr>
        <w:t xml:space="preserve"> Sesión Ordinaria No. 76-2014 del 10 de Diciembre del 2014, la Junta Directiva del Consejo de Transporte Público, acogiendo las recomendaciones del Oficio No. DAJ 2014004390 de su Dirección de Asuntos Jurídicos, vino a disponer el Rechazo de la Revocatoria incoada contra su Acuerdo dicho y determina elevar la Apelación subsidiaria y sus correlativas para ante este Tribunal.</w:t>
      </w:r>
    </w:p>
    <w:p w:rsidR="00EA783D" w:rsidRDefault="00EA783D" w:rsidP="00EA783D">
      <w:pPr>
        <w:pStyle w:val="Sinespaciado"/>
        <w:rPr>
          <w:lang w:val="es-ES"/>
        </w:rPr>
      </w:pPr>
    </w:p>
    <w:p w:rsidR="00EA783D" w:rsidRPr="00245EF8" w:rsidRDefault="00EA783D" w:rsidP="00EA783D">
      <w:pPr>
        <w:spacing w:line="240" w:lineRule="auto"/>
        <w:jc w:val="both"/>
        <w:rPr>
          <w:rFonts w:ascii="Times New Roman" w:hAnsi="Times New Roman"/>
          <w:sz w:val="26"/>
          <w:szCs w:val="26"/>
          <w:lang w:val="es-ES"/>
        </w:rPr>
      </w:pPr>
      <w:r w:rsidRPr="00245EF8">
        <w:rPr>
          <w:rFonts w:ascii="Times New Roman" w:hAnsi="Times New Roman"/>
          <w:b/>
          <w:sz w:val="26"/>
          <w:szCs w:val="26"/>
          <w:lang w:val="es-ES"/>
        </w:rPr>
        <w:lastRenderedPageBreak/>
        <w:t>4.-</w:t>
      </w:r>
      <w:r w:rsidRPr="00245EF8">
        <w:rPr>
          <w:rFonts w:ascii="Times New Roman" w:hAnsi="Times New Roman"/>
          <w:sz w:val="26"/>
          <w:szCs w:val="26"/>
          <w:lang w:val="es-ES"/>
        </w:rPr>
        <w:tab/>
        <w:t>En mérito de lo anterior y conforme a los términos y prescripciones de Ley, procede a conocer y a resolver este Tribunal.</w:t>
      </w:r>
    </w:p>
    <w:p w:rsidR="00EA783D" w:rsidRPr="00245EF8" w:rsidRDefault="00EA783D" w:rsidP="00EA783D">
      <w:pPr>
        <w:pStyle w:val="Sinespaciado"/>
        <w:rPr>
          <w:rFonts w:ascii="Times New Roman" w:hAnsi="Times New Roman" w:cs="Times New Roman"/>
          <w:sz w:val="26"/>
          <w:szCs w:val="26"/>
          <w:lang w:val="es-ES"/>
        </w:rPr>
      </w:pPr>
    </w:p>
    <w:p w:rsidR="00EA783D" w:rsidRPr="00245EF8" w:rsidRDefault="00EA783D" w:rsidP="00EA783D">
      <w:pPr>
        <w:spacing w:line="240" w:lineRule="auto"/>
        <w:jc w:val="both"/>
        <w:rPr>
          <w:rFonts w:ascii="Times New Roman" w:hAnsi="Times New Roman"/>
          <w:b/>
          <w:i/>
          <w:sz w:val="26"/>
          <w:szCs w:val="26"/>
          <w:lang w:val="es-ES"/>
        </w:rPr>
      </w:pPr>
      <w:r w:rsidRPr="00245EF8">
        <w:rPr>
          <w:rFonts w:ascii="Times New Roman" w:hAnsi="Times New Roman"/>
          <w:b/>
          <w:i/>
          <w:sz w:val="26"/>
          <w:szCs w:val="26"/>
          <w:lang w:val="es-ES"/>
        </w:rPr>
        <w:t>REDACTA EL JUEZ QUESADA AGUIRRE,</w:t>
      </w:r>
    </w:p>
    <w:p w:rsidR="00EA783D" w:rsidRPr="00245EF8" w:rsidRDefault="00EA783D" w:rsidP="00EA783D">
      <w:pPr>
        <w:spacing w:line="240" w:lineRule="auto"/>
        <w:jc w:val="center"/>
        <w:rPr>
          <w:rFonts w:ascii="Times New Roman" w:hAnsi="Times New Roman"/>
          <w:b/>
          <w:i/>
          <w:sz w:val="26"/>
          <w:szCs w:val="26"/>
          <w:lang w:val="es-ES"/>
        </w:rPr>
      </w:pPr>
      <w:r w:rsidRPr="00245EF8">
        <w:rPr>
          <w:rFonts w:ascii="Times New Roman" w:hAnsi="Times New Roman"/>
          <w:b/>
          <w:i/>
          <w:sz w:val="26"/>
          <w:szCs w:val="26"/>
          <w:lang w:val="es-ES"/>
        </w:rPr>
        <w:t>Considerando:</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jc w:val="both"/>
        <w:rPr>
          <w:rFonts w:ascii="Times New Roman" w:hAnsi="Times New Roman"/>
          <w:sz w:val="26"/>
          <w:szCs w:val="26"/>
        </w:rPr>
      </w:pPr>
      <w:r w:rsidRPr="00245EF8">
        <w:rPr>
          <w:rFonts w:ascii="Times New Roman" w:hAnsi="Times New Roman"/>
          <w:b/>
          <w:sz w:val="26"/>
          <w:szCs w:val="26"/>
        </w:rPr>
        <w:t xml:space="preserve">1.- </w:t>
      </w:r>
      <w:r w:rsidRPr="00245EF8">
        <w:rPr>
          <w:rFonts w:ascii="Times New Roman" w:hAnsi="Times New Roman"/>
          <w:b/>
          <w:sz w:val="26"/>
          <w:szCs w:val="26"/>
        </w:rPr>
        <w:tab/>
        <w:t>SOBRE LA COMPETENCIA:</w:t>
      </w:r>
      <w:r w:rsidRPr="00245EF8">
        <w:rPr>
          <w:rFonts w:ascii="Times New Roman" w:hAnsi="Times New Roman"/>
          <w:sz w:val="26"/>
          <w:szCs w:val="26"/>
        </w:rPr>
        <w:t xml:space="preserve">  </w:t>
      </w:r>
      <w:r w:rsidRPr="00245EF8">
        <w:rPr>
          <w:rFonts w:ascii="Times New Roman" w:hAnsi="Times New Roman"/>
          <w:b/>
          <w:sz w:val="26"/>
          <w:szCs w:val="26"/>
        </w:rPr>
        <w:t xml:space="preserve"> </w:t>
      </w:r>
      <w:r w:rsidRPr="00245EF8">
        <w:rPr>
          <w:rFonts w:ascii="Times New Roman" w:hAnsi="Times New Roman"/>
          <w:sz w:val="26"/>
          <w:szCs w:val="26"/>
        </w:rPr>
        <w:t xml:space="preserve">El Tribunal Administrativo de Transporte es el órgano competente para conocer y resolver el presente </w:t>
      </w:r>
      <w:r w:rsidRPr="00245EF8">
        <w:rPr>
          <w:rFonts w:ascii="Times New Roman" w:hAnsi="Times New Roman"/>
          <w:smallCaps/>
          <w:sz w:val="26"/>
          <w:szCs w:val="26"/>
        </w:rPr>
        <w:t xml:space="preserve">recurso de apelación,  </w:t>
      </w:r>
      <w:r w:rsidRPr="00245EF8">
        <w:rPr>
          <w:rFonts w:ascii="Times New Roman" w:hAnsi="Times New Roman"/>
          <w:sz w:val="26"/>
          <w:szCs w:val="26"/>
        </w:rPr>
        <w:t>de conformidad con el Artículo 22 de la Ley Reguladora del Servicio Público de Transporte Remunerado de Personas en Vehículos en la Modalidad de Taxi, No. 7969 de 22 de diciembre de 1999.</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jc w:val="both"/>
        <w:rPr>
          <w:rFonts w:ascii="Times New Roman" w:hAnsi="Times New Roman"/>
          <w:sz w:val="26"/>
          <w:szCs w:val="26"/>
        </w:rPr>
      </w:pPr>
      <w:r w:rsidRPr="00245EF8">
        <w:rPr>
          <w:rFonts w:ascii="Times New Roman" w:hAnsi="Times New Roman"/>
          <w:b/>
          <w:sz w:val="26"/>
          <w:szCs w:val="26"/>
        </w:rPr>
        <w:t xml:space="preserve">2.- </w:t>
      </w:r>
      <w:r w:rsidRPr="00245EF8">
        <w:rPr>
          <w:rFonts w:ascii="Times New Roman" w:hAnsi="Times New Roman"/>
          <w:b/>
          <w:sz w:val="26"/>
          <w:szCs w:val="26"/>
        </w:rPr>
        <w:tab/>
        <w:t xml:space="preserve">LA ADMISIBILIDAD DEL RECURSO: </w:t>
      </w:r>
      <w:r w:rsidRPr="00245EF8">
        <w:rPr>
          <w:rFonts w:ascii="Times New Roman" w:hAnsi="Times New Roman"/>
          <w:b/>
          <w:sz w:val="26"/>
          <w:szCs w:val="26"/>
          <w:u w:val="single"/>
        </w:rPr>
        <w:t>En cuanto a la Legitimación:</w:t>
      </w:r>
      <w:r w:rsidRPr="00245EF8">
        <w:rPr>
          <w:rFonts w:ascii="Times New Roman" w:hAnsi="Times New Roman"/>
          <w:b/>
          <w:sz w:val="26"/>
          <w:szCs w:val="26"/>
        </w:rPr>
        <w:t xml:space="preserve"> </w:t>
      </w:r>
      <w:r w:rsidRPr="00245EF8">
        <w:rPr>
          <w:rFonts w:ascii="Times New Roman" w:hAnsi="Times New Roman"/>
          <w:sz w:val="26"/>
          <w:szCs w:val="26"/>
        </w:rPr>
        <w:t xml:space="preserve">al Recurrente se le Canceló el Derecho de Concesión de Taxi relativo a la placa No. </w:t>
      </w:r>
      <w:r w:rsidR="002330B3">
        <w:rPr>
          <w:rFonts w:ascii="Times New Roman" w:hAnsi="Times New Roman"/>
          <w:sz w:val="26"/>
          <w:szCs w:val="26"/>
        </w:rPr>
        <w:t>….</w:t>
      </w:r>
      <w:r w:rsidRPr="00245EF8">
        <w:rPr>
          <w:rFonts w:ascii="Times New Roman" w:hAnsi="Times New Roman"/>
          <w:smallCaps/>
          <w:sz w:val="26"/>
          <w:szCs w:val="26"/>
        </w:rPr>
        <w:t xml:space="preserve">, </w:t>
      </w:r>
      <w:r w:rsidRPr="00245EF8">
        <w:rPr>
          <w:rFonts w:ascii="Times New Roman" w:hAnsi="Times New Roman"/>
          <w:sz w:val="26"/>
          <w:szCs w:val="26"/>
        </w:rPr>
        <w:t xml:space="preserve"> mediante el acuerdo impugnado, por lo que cuenta con la Legitimación necesaria para actuar en el presente asunto. </w:t>
      </w:r>
      <w:r w:rsidRPr="00245EF8">
        <w:rPr>
          <w:rFonts w:ascii="Times New Roman" w:hAnsi="Times New Roman"/>
          <w:b/>
          <w:sz w:val="26"/>
          <w:szCs w:val="26"/>
          <w:u w:val="single"/>
        </w:rPr>
        <w:t>En cuanto al Plazo:</w:t>
      </w:r>
      <w:r w:rsidRPr="00245EF8">
        <w:rPr>
          <w:rFonts w:ascii="Times New Roman" w:hAnsi="Times New Roman"/>
          <w:sz w:val="26"/>
          <w:szCs w:val="26"/>
        </w:rPr>
        <w:t xml:space="preserve"> Si bien es cierto el  Recurso de Apelación fue presentado en Marzo del año 2012, dado que lo que se busca no es realmente la Impugnación del Acuerdo de Cancelación de la Concesión de Taxi, sino la determinación de la Imposibilidad Administrativa </w:t>
      </w:r>
      <w:r>
        <w:rPr>
          <w:rFonts w:ascii="Times New Roman" w:hAnsi="Times New Roman"/>
          <w:sz w:val="26"/>
          <w:szCs w:val="26"/>
        </w:rPr>
        <w:t xml:space="preserve">por caducidad o Tiempo transcurrido </w:t>
      </w:r>
      <w:r w:rsidRPr="00245EF8">
        <w:rPr>
          <w:rFonts w:ascii="Times New Roman" w:hAnsi="Times New Roman"/>
          <w:sz w:val="26"/>
          <w:szCs w:val="26"/>
        </w:rPr>
        <w:t>para su Ejecución, dada su Inactividad por más de DOS AÑOS, luego de tomado él mismo, lo actuado debe tenerse como establecido en tiempo</w:t>
      </w:r>
      <w:r>
        <w:rPr>
          <w:rFonts w:ascii="Times New Roman" w:hAnsi="Times New Roman"/>
          <w:sz w:val="26"/>
          <w:szCs w:val="26"/>
        </w:rPr>
        <w:t>.-</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jc w:val="both"/>
        <w:rPr>
          <w:rFonts w:ascii="Times New Roman" w:hAnsi="Times New Roman"/>
          <w:sz w:val="26"/>
          <w:szCs w:val="26"/>
        </w:rPr>
      </w:pPr>
      <w:r w:rsidRPr="00245EF8">
        <w:rPr>
          <w:rFonts w:ascii="Times New Roman" w:hAnsi="Times New Roman"/>
          <w:b/>
          <w:sz w:val="26"/>
          <w:szCs w:val="26"/>
        </w:rPr>
        <w:t xml:space="preserve">3.- </w:t>
      </w:r>
      <w:r w:rsidRPr="00245EF8">
        <w:rPr>
          <w:rFonts w:ascii="Times New Roman" w:hAnsi="Times New Roman"/>
          <w:b/>
          <w:sz w:val="26"/>
          <w:szCs w:val="26"/>
        </w:rPr>
        <w:tab/>
        <w:t xml:space="preserve">SOBRE LOS HECHOS PROBADOS: </w:t>
      </w:r>
      <w:r w:rsidRPr="00245EF8">
        <w:rPr>
          <w:rFonts w:ascii="Times New Roman" w:hAnsi="Times New Roman"/>
          <w:sz w:val="26"/>
          <w:szCs w:val="26"/>
        </w:rPr>
        <w:t>De importancia para la decisión de este asunto, se estiman como debidamente demostrados los siguientes hechos:</w:t>
      </w:r>
    </w:p>
    <w:p w:rsidR="00EA783D" w:rsidRPr="00E2174F" w:rsidRDefault="00EA783D" w:rsidP="00EA783D">
      <w:pPr>
        <w:pStyle w:val="Sinespaciado"/>
        <w:rPr>
          <w:sz w:val="16"/>
          <w:szCs w:val="16"/>
        </w:rPr>
      </w:pPr>
    </w:p>
    <w:p w:rsidR="00EA783D" w:rsidRPr="00E2174F" w:rsidRDefault="00EA783D" w:rsidP="00EA783D">
      <w:pPr>
        <w:spacing w:line="240" w:lineRule="auto"/>
        <w:jc w:val="both"/>
        <w:rPr>
          <w:rFonts w:ascii="Times New Roman" w:hAnsi="Times New Roman"/>
          <w:i/>
          <w:sz w:val="26"/>
          <w:szCs w:val="26"/>
          <w:lang w:val="es-ES"/>
        </w:rPr>
      </w:pPr>
      <w:r w:rsidRPr="00E2174F">
        <w:rPr>
          <w:rFonts w:ascii="Times New Roman" w:hAnsi="Times New Roman"/>
          <w:b/>
          <w:i/>
          <w:sz w:val="26"/>
          <w:szCs w:val="26"/>
        </w:rPr>
        <w:t>a.-</w:t>
      </w:r>
      <w:r w:rsidRPr="00E2174F">
        <w:rPr>
          <w:rFonts w:ascii="Times New Roman" w:hAnsi="Times New Roman"/>
          <w:i/>
          <w:sz w:val="26"/>
          <w:szCs w:val="26"/>
        </w:rPr>
        <w:tab/>
        <w:t xml:space="preserve">Que mediante su </w:t>
      </w:r>
      <w:r w:rsidRPr="00E2174F">
        <w:rPr>
          <w:rFonts w:ascii="Times New Roman" w:hAnsi="Times New Roman"/>
          <w:i/>
          <w:sz w:val="26"/>
          <w:szCs w:val="26"/>
          <w:lang w:val="es-ES"/>
        </w:rPr>
        <w:t xml:space="preserve">Acuerdo No. 6.32 de su Sesión Extraordinaria No. 01-2010 del 25 de Enero del 2010, la Junta Directiva del Consejo de Transporte Público dispuso la Cancelación de la Concesión de Taxi Placas </w:t>
      </w:r>
      <w:r w:rsidR="002330B3">
        <w:rPr>
          <w:rFonts w:ascii="Times New Roman" w:hAnsi="Times New Roman"/>
          <w:i/>
          <w:sz w:val="26"/>
          <w:szCs w:val="26"/>
          <w:lang w:val="es-ES"/>
        </w:rPr>
        <w:t>…</w:t>
      </w:r>
      <w:r w:rsidRPr="00E2174F">
        <w:rPr>
          <w:rFonts w:ascii="Times New Roman" w:hAnsi="Times New Roman"/>
          <w:i/>
          <w:sz w:val="26"/>
          <w:szCs w:val="26"/>
          <w:lang w:val="es-ES"/>
        </w:rPr>
        <w:t xml:space="preserve">, detentada por el Señor </w:t>
      </w:r>
      <w:r w:rsidR="002330B3">
        <w:rPr>
          <w:rFonts w:ascii="Times New Roman" w:hAnsi="Times New Roman"/>
          <w:i/>
          <w:sz w:val="26"/>
          <w:szCs w:val="26"/>
          <w:lang w:val="es-ES"/>
        </w:rPr>
        <w:t>JDEE</w:t>
      </w:r>
      <w:r w:rsidRPr="00E2174F">
        <w:rPr>
          <w:rFonts w:ascii="Times New Roman" w:hAnsi="Times New Roman"/>
          <w:i/>
          <w:sz w:val="26"/>
          <w:szCs w:val="26"/>
          <w:lang w:val="es-ES"/>
        </w:rPr>
        <w:t>. Ordenando a las Autoridades respectivas la ejecución de tal disposición (desinscripción vehicular y captura de  placas)</w:t>
      </w:r>
      <w:r w:rsidRPr="00E2174F">
        <w:rPr>
          <w:rFonts w:ascii="Times New Roman" w:hAnsi="Times New Roman"/>
          <w:i/>
          <w:sz w:val="26"/>
          <w:szCs w:val="26"/>
        </w:rPr>
        <w:t>;</w:t>
      </w:r>
    </w:p>
    <w:p w:rsidR="00EA783D" w:rsidRPr="00E2174F" w:rsidRDefault="00EA783D" w:rsidP="00EA783D">
      <w:pPr>
        <w:spacing w:line="240" w:lineRule="auto"/>
        <w:jc w:val="both"/>
        <w:rPr>
          <w:rFonts w:ascii="Times New Roman" w:hAnsi="Times New Roman"/>
          <w:i/>
          <w:sz w:val="26"/>
          <w:szCs w:val="26"/>
        </w:rPr>
      </w:pPr>
      <w:r w:rsidRPr="00E2174F">
        <w:rPr>
          <w:rFonts w:ascii="Times New Roman" w:hAnsi="Times New Roman"/>
          <w:b/>
          <w:i/>
          <w:sz w:val="26"/>
          <w:szCs w:val="26"/>
        </w:rPr>
        <w:t>b.-</w:t>
      </w:r>
      <w:r w:rsidRPr="00E2174F">
        <w:rPr>
          <w:rFonts w:ascii="Times New Roman" w:hAnsi="Times New Roman"/>
          <w:i/>
          <w:sz w:val="26"/>
          <w:szCs w:val="26"/>
        </w:rPr>
        <w:tab/>
        <w:t xml:space="preserve">Que </w:t>
      </w:r>
      <w:r w:rsidRPr="00E2174F">
        <w:rPr>
          <w:rFonts w:ascii="Times New Roman" w:hAnsi="Times New Roman"/>
          <w:i/>
          <w:sz w:val="26"/>
          <w:szCs w:val="26"/>
          <w:lang w:val="es-ES"/>
        </w:rPr>
        <w:t xml:space="preserve">En el mes de Marzo del año 2012 y mediante Memorial del día 06 de ese mes y año, el Señor </w:t>
      </w:r>
      <w:r w:rsidR="002330B3">
        <w:rPr>
          <w:rFonts w:ascii="Times New Roman" w:hAnsi="Times New Roman"/>
          <w:i/>
          <w:sz w:val="26"/>
          <w:szCs w:val="26"/>
          <w:lang w:val="es-ES"/>
        </w:rPr>
        <w:t>EE</w:t>
      </w:r>
      <w:r w:rsidRPr="00E2174F">
        <w:rPr>
          <w:rFonts w:ascii="Times New Roman" w:hAnsi="Times New Roman"/>
          <w:i/>
          <w:sz w:val="26"/>
          <w:szCs w:val="26"/>
          <w:lang w:val="es-ES"/>
        </w:rPr>
        <w:t xml:space="preserve"> interpone formales Recursos Ordinarios y Petición de Caducidad en cuanto a la EJECUCIÓN del Acuerdo antes aludido; expresando que luego de DOS AÑOS de su firmeza, él mismo NO SE HA EJECUTADO y que él sigue operando la Concesión dicha. Reclamando que lo dispuesto en el Acuerdo de marras </w:t>
      </w:r>
      <w:r w:rsidRPr="00E2174F">
        <w:rPr>
          <w:rFonts w:ascii="Times New Roman" w:hAnsi="Times New Roman"/>
          <w:i/>
          <w:sz w:val="26"/>
          <w:szCs w:val="26"/>
          <w:lang w:val="es-ES"/>
        </w:rPr>
        <w:lastRenderedPageBreak/>
        <w:t>no puede Ejecutarse en razón del tiempo transcurrido y del fenecimiento de la potestad de ejecución del Consejo de Transporte Público, ante su propia inactividad</w:t>
      </w:r>
      <w:r w:rsidRPr="00E2174F">
        <w:rPr>
          <w:rFonts w:ascii="Times New Roman" w:hAnsi="Times New Roman"/>
          <w:i/>
          <w:sz w:val="26"/>
          <w:szCs w:val="26"/>
        </w:rPr>
        <w:t>;</w:t>
      </w:r>
    </w:p>
    <w:p w:rsidR="00EA783D" w:rsidRPr="00E2174F" w:rsidRDefault="00EA783D" w:rsidP="00EA783D">
      <w:pPr>
        <w:spacing w:line="240" w:lineRule="auto"/>
        <w:jc w:val="both"/>
        <w:rPr>
          <w:rFonts w:ascii="Times New Roman" w:hAnsi="Times New Roman"/>
          <w:i/>
          <w:sz w:val="26"/>
          <w:szCs w:val="26"/>
          <w:lang w:val="es-ES"/>
        </w:rPr>
      </w:pPr>
      <w:r w:rsidRPr="00E2174F">
        <w:rPr>
          <w:rFonts w:ascii="Times New Roman" w:hAnsi="Times New Roman"/>
          <w:b/>
          <w:i/>
          <w:sz w:val="26"/>
          <w:szCs w:val="26"/>
        </w:rPr>
        <w:t>c.-</w:t>
      </w:r>
      <w:r w:rsidRPr="00E2174F">
        <w:rPr>
          <w:rFonts w:ascii="Times New Roman" w:hAnsi="Times New Roman"/>
          <w:i/>
          <w:sz w:val="26"/>
          <w:szCs w:val="26"/>
        </w:rPr>
        <w:tab/>
        <w:t xml:space="preserve">Que </w:t>
      </w:r>
      <w:r w:rsidRPr="00E2174F">
        <w:rPr>
          <w:rFonts w:ascii="Times New Roman" w:hAnsi="Times New Roman"/>
          <w:i/>
          <w:sz w:val="26"/>
          <w:szCs w:val="26"/>
          <w:lang w:val="es-ES"/>
        </w:rPr>
        <w:t>luego de dos años de presentada la Gestión aludida en el anterior Resultando y de cuatro años desde la firmeza del Acto Objetado, mediante su Acuerdo Único de su Sesión Ordinaria No. 76-2014 del 10 de Diciembre del 2014, la Junta Directiva del Consejo de Transporte Público, acogiendo las recomendaciones del Oficio No. DAJ 2014004390 de su Dirección de Asuntos Jurídicos, vino a disponer el Rechazo de la Revocatoria incoada contra su Acuerdo dicho y determina elevar la Apelación subsidiaria y sus correlativas para ante este Tribunal;</w:t>
      </w:r>
    </w:p>
    <w:p w:rsidR="00EA783D" w:rsidRPr="00E2174F" w:rsidRDefault="00EA783D" w:rsidP="00EA783D">
      <w:pPr>
        <w:jc w:val="both"/>
        <w:rPr>
          <w:rFonts w:ascii="Times New Roman" w:hAnsi="Times New Roman"/>
          <w:i/>
          <w:sz w:val="26"/>
          <w:szCs w:val="26"/>
          <w:u w:val="words"/>
        </w:rPr>
      </w:pPr>
      <w:r w:rsidRPr="00E2174F">
        <w:rPr>
          <w:rFonts w:ascii="Times New Roman" w:hAnsi="Times New Roman"/>
          <w:b/>
          <w:i/>
          <w:sz w:val="26"/>
          <w:szCs w:val="26"/>
        </w:rPr>
        <w:t>d.-</w:t>
      </w:r>
      <w:r w:rsidRPr="00E2174F">
        <w:rPr>
          <w:rFonts w:ascii="Times New Roman" w:hAnsi="Times New Roman"/>
          <w:i/>
          <w:sz w:val="26"/>
          <w:szCs w:val="26"/>
        </w:rPr>
        <w:tab/>
        <w:t>Que a solicitud de este Tribunal, el Interesado ha presentado pruebas sobre su tenencia actual de las Placas y de la Concesión de Taxi por parte del mismo.</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jc w:val="both"/>
        <w:rPr>
          <w:rFonts w:ascii="Times New Roman" w:hAnsi="Times New Roman"/>
          <w:b/>
          <w:sz w:val="26"/>
          <w:szCs w:val="26"/>
        </w:rPr>
      </w:pPr>
      <w:r w:rsidRPr="00245EF8">
        <w:rPr>
          <w:rFonts w:ascii="Times New Roman" w:hAnsi="Times New Roman"/>
          <w:b/>
          <w:sz w:val="26"/>
          <w:szCs w:val="26"/>
        </w:rPr>
        <w:t xml:space="preserve">4.- </w:t>
      </w:r>
      <w:r w:rsidRPr="00245EF8">
        <w:rPr>
          <w:rFonts w:ascii="Times New Roman" w:hAnsi="Times New Roman"/>
          <w:b/>
          <w:sz w:val="26"/>
          <w:szCs w:val="26"/>
        </w:rPr>
        <w:tab/>
        <w:t>HECHOS NO PROBADOS:</w:t>
      </w:r>
    </w:p>
    <w:p w:rsidR="00EA783D" w:rsidRPr="00245EF8" w:rsidRDefault="00EA783D" w:rsidP="00EA783D">
      <w:pPr>
        <w:jc w:val="both"/>
        <w:rPr>
          <w:rFonts w:ascii="Times New Roman" w:hAnsi="Times New Roman"/>
          <w:sz w:val="26"/>
          <w:szCs w:val="26"/>
        </w:rPr>
      </w:pPr>
      <w:r w:rsidRPr="00245EF8">
        <w:rPr>
          <w:rFonts w:ascii="Times New Roman" w:hAnsi="Times New Roman"/>
          <w:sz w:val="26"/>
          <w:szCs w:val="26"/>
        </w:rPr>
        <w:t>No se consigna o presenta ningún Hecho No Probado de relevancia y/o interés a los presentes efectos.</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spacing w:line="240" w:lineRule="auto"/>
        <w:jc w:val="both"/>
        <w:rPr>
          <w:rFonts w:ascii="Times New Roman" w:hAnsi="Times New Roman"/>
          <w:b/>
          <w:sz w:val="26"/>
          <w:szCs w:val="26"/>
        </w:rPr>
      </w:pPr>
      <w:r w:rsidRPr="00245EF8">
        <w:rPr>
          <w:rFonts w:ascii="Times New Roman" w:hAnsi="Times New Roman"/>
          <w:b/>
          <w:sz w:val="26"/>
          <w:szCs w:val="26"/>
        </w:rPr>
        <w:t>5.-</w:t>
      </w:r>
      <w:r w:rsidRPr="00245EF8">
        <w:rPr>
          <w:rFonts w:ascii="Times New Roman" w:hAnsi="Times New Roman"/>
          <w:b/>
          <w:sz w:val="26"/>
          <w:szCs w:val="26"/>
        </w:rPr>
        <w:tab/>
        <w:t>SOBRE EL FONDO:</w:t>
      </w:r>
    </w:p>
    <w:p w:rsidR="00EA783D" w:rsidRPr="00245EF8" w:rsidRDefault="00EA783D" w:rsidP="00EA783D">
      <w:pPr>
        <w:spacing w:line="240" w:lineRule="auto"/>
        <w:jc w:val="both"/>
        <w:rPr>
          <w:rFonts w:ascii="Times New Roman" w:hAnsi="Times New Roman"/>
          <w:sz w:val="26"/>
          <w:szCs w:val="26"/>
          <w:lang w:val="es-ES"/>
        </w:rPr>
      </w:pPr>
      <w:r w:rsidRPr="00245EF8">
        <w:rPr>
          <w:rFonts w:ascii="Times New Roman" w:hAnsi="Times New Roman"/>
          <w:sz w:val="26"/>
          <w:szCs w:val="26"/>
        </w:rPr>
        <w:t xml:space="preserve">En lo que interesa lo que el Accionante plantea y reclama, es la IMPOSIBILIDAD </w:t>
      </w:r>
      <w:r>
        <w:rPr>
          <w:rFonts w:ascii="Times New Roman" w:hAnsi="Times New Roman"/>
          <w:sz w:val="26"/>
          <w:szCs w:val="26"/>
        </w:rPr>
        <w:t xml:space="preserve">por Caducidad </w:t>
      </w:r>
      <w:r w:rsidRPr="00245EF8">
        <w:rPr>
          <w:rFonts w:ascii="Times New Roman" w:hAnsi="Times New Roman"/>
          <w:sz w:val="26"/>
          <w:szCs w:val="26"/>
        </w:rPr>
        <w:t>de</w:t>
      </w:r>
      <w:r>
        <w:rPr>
          <w:rFonts w:ascii="Times New Roman" w:hAnsi="Times New Roman"/>
          <w:sz w:val="26"/>
          <w:szCs w:val="26"/>
        </w:rPr>
        <w:t xml:space="preserve"> la</w:t>
      </w:r>
      <w:r w:rsidRPr="00245EF8">
        <w:rPr>
          <w:rFonts w:ascii="Times New Roman" w:hAnsi="Times New Roman"/>
          <w:sz w:val="26"/>
          <w:szCs w:val="26"/>
        </w:rPr>
        <w:t xml:space="preserve"> Ejecución en cuanto a lo Dispuesto por el Consejo de Transporte Público</w:t>
      </w:r>
      <w:r>
        <w:rPr>
          <w:rFonts w:ascii="Times New Roman" w:hAnsi="Times New Roman"/>
          <w:sz w:val="26"/>
          <w:szCs w:val="26"/>
        </w:rPr>
        <w:t xml:space="preserve"> luego del Procedimiento Administrativo pertinente y </w:t>
      </w:r>
      <w:r w:rsidRPr="00245EF8">
        <w:rPr>
          <w:rFonts w:ascii="Times New Roman" w:hAnsi="Times New Roman"/>
          <w:sz w:val="26"/>
          <w:szCs w:val="26"/>
        </w:rPr>
        <w:t xml:space="preserve">mediante su </w:t>
      </w:r>
      <w:r w:rsidRPr="00245EF8">
        <w:rPr>
          <w:rFonts w:ascii="Times New Roman" w:hAnsi="Times New Roman"/>
          <w:sz w:val="26"/>
          <w:szCs w:val="26"/>
          <w:lang w:val="es-ES"/>
        </w:rPr>
        <w:t xml:space="preserve">Acuerdo No. 6.32 de su Sesión Extraordinaria No. 01-2010 del 25 de Enero del 2010, toda vez que visto el Tiempo transcurrido entre su emisión y firmeza y el Momento de la Gestión que se resuelve, </w:t>
      </w:r>
      <w:r w:rsidRPr="00245EF8">
        <w:rPr>
          <w:rFonts w:ascii="Times New Roman" w:hAnsi="Times New Roman"/>
          <w:sz w:val="26"/>
          <w:szCs w:val="26"/>
          <w:u w:val="single"/>
          <w:lang w:val="es-ES"/>
        </w:rPr>
        <w:t>habían Transcurrido DOS AÑOS sin acción debida por parte del Consejo de Transporte Público. Y sin ejecución de su Acuerdo</w:t>
      </w:r>
      <w:r w:rsidRPr="00245EF8">
        <w:rPr>
          <w:rFonts w:ascii="Times New Roman" w:hAnsi="Times New Roman"/>
          <w:sz w:val="26"/>
          <w:szCs w:val="26"/>
          <w:lang w:val="es-ES"/>
        </w:rPr>
        <w:t>. Lo cual conlleva la Extinción de su Competencia Particular y de su Potestad Sancionatoria por Transcurso del Tiempo (</w:t>
      </w:r>
      <w:r w:rsidRPr="00245EF8">
        <w:rPr>
          <w:rFonts w:ascii="Times New Roman" w:hAnsi="Times New Roman"/>
          <w:i/>
          <w:sz w:val="26"/>
          <w:szCs w:val="26"/>
          <w:lang w:val="es-ES"/>
        </w:rPr>
        <w:t>Caducidad, a estima y alegato del Recurrente</w:t>
      </w:r>
      <w:r w:rsidRPr="00245EF8">
        <w:rPr>
          <w:rFonts w:ascii="Times New Roman" w:hAnsi="Times New Roman"/>
          <w:sz w:val="26"/>
          <w:szCs w:val="26"/>
          <w:lang w:val="es-ES"/>
        </w:rPr>
        <w:t>).</w:t>
      </w:r>
    </w:p>
    <w:p w:rsidR="00EA783D" w:rsidRPr="00245EF8" w:rsidRDefault="00EA783D" w:rsidP="00EA783D">
      <w:pPr>
        <w:spacing w:line="240" w:lineRule="auto"/>
        <w:jc w:val="both"/>
        <w:rPr>
          <w:rFonts w:ascii="Times New Roman" w:hAnsi="Times New Roman"/>
          <w:sz w:val="26"/>
          <w:szCs w:val="26"/>
          <w:lang w:val="es-ES"/>
        </w:rPr>
      </w:pPr>
      <w:r w:rsidRPr="00245EF8">
        <w:rPr>
          <w:rFonts w:ascii="Times New Roman" w:hAnsi="Times New Roman"/>
          <w:sz w:val="26"/>
          <w:szCs w:val="26"/>
          <w:lang w:val="es-ES"/>
        </w:rPr>
        <w:t xml:space="preserve">Se une a lo anterior, el hecho de que a la fecha han transcurrido DOS AÑOS más y el Señor </w:t>
      </w:r>
      <w:r w:rsidR="002330B3">
        <w:rPr>
          <w:rFonts w:ascii="Times New Roman" w:hAnsi="Times New Roman"/>
          <w:sz w:val="26"/>
          <w:szCs w:val="26"/>
          <w:lang w:val="es-ES"/>
        </w:rPr>
        <w:t>EE</w:t>
      </w:r>
      <w:r w:rsidRPr="00245EF8">
        <w:rPr>
          <w:rFonts w:ascii="Times New Roman" w:hAnsi="Times New Roman"/>
          <w:sz w:val="26"/>
          <w:szCs w:val="26"/>
          <w:lang w:val="es-ES"/>
        </w:rPr>
        <w:t>, ante requerimiento de este Tribunal, a</w:t>
      </w:r>
      <w:r>
        <w:rPr>
          <w:rFonts w:ascii="Times New Roman" w:hAnsi="Times New Roman"/>
          <w:sz w:val="26"/>
          <w:szCs w:val="26"/>
          <w:lang w:val="es-ES"/>
        </w:rPr>
        <w:t>ú</w:t>
      </w:r>
      <w:r w:rsidRPr="00245EF8">
        <w:rPr>
          <w:rFonts w:ascii="Times New Roman" w:hAnsi="Times New Roman"/>
          <w:sz w:val="26"/>
          <w:szCs w:val="26"/>
          <w:lang w:val="es-ES"/>
        </w:rPr>
        <w:t xml:space="preserve">n Presenta Pruebas de que el Vehículo Taxi en cuestión (Placas </w:t>
      </w:r>
      <w:r w:rsidR="002330B3">
        <w:rPr>
          <w:rFonts w:ascii="Times New Roman" w:hAnsi="Times New Roman"/>
          <w:sz w:val="26"/>
          <w:szCs w:val="26"/>
          <w:lang w:val="es-ES"/>
        </w:rPr>
        <w:t>…</w:t>
      </w:r>
      <w:r w:rsidRPr="00245EF8">
        <w:rPr>
          <w:rFonts w:ascii="Times New Roman" w:hAnsi="Times New Roman"/>
          <w:sz w:val="26"/>
          <w:szCs w:val="26"/>
          <w:lang w:val="es-ES"/>
        </w:rPr>
        <w:t>), no se ha desinscrito y de que sigue Operando la Concesión (</w:t>
      </w:r>
      <w:r w:rsidRPr="00245EF8">
        <w:rPr>
          <w:rFonts w:ascii="Times New Roman" w:hAnsi="Times New Roman"/>
          <w:i/>
          <w:sz w:val="26"/>
          <w:szCs w:val="26"/>
          <w:lang w:val="es-ES"/>
        </w:rPr>
        <w:t>ver Folios 036 a 055 del Expediente de este Caso</w:t>
      </w:r>
      <w:r w:rsidRPr="00245EF8">
        <w:rPr>
          <w:rFonts w:ascii="Times New Roman" w:hAnsi="Times New Roman"/>
          <w:sz w:val="26"/>
          <w:szCs w:val="26"/>
          <w:lang w:val="es-ES"/>
        </w:rPr>
        <w:t>).</w:t>
      </w:r>
    </w:p>
    <w:p w:rsidR="00EA783D" w:rsidRPr="00810FDB" w:rsidRDefault="00EA783D" w:rsidP="00EA783D">
      <w:pPr>
        <w:spacing w:line="240" w:lineRule="auto"/>
        <w:jc w:val="both"/>
        <w:rPr>
          <w:rFonts w:ascii="Times New Roman" w:hAnsi="Times New Roman"/>
          <w:sz w:val="26"/>
          <w:szCs w:val="26"/>
          <w:lang w:val="es-ES"/>
        </w:rPr>
      </w:pPr>
      <w:r w:rsidRPr="00245EF8">
        <w:rPr>
          <w:rFonts w:ascii="Times New Roman" w:hAnsi="Times New Roman"/>
          <w:sz w:val="26"/>
          <w:szCs w:val="26"/>
          <w:lang w:val="es-ES"/>
        </w:rPr>
        <w:t>Así las cosas y</w:t>
      </w:r>
      <w:r>
        <w:rPr>
          <w:rFonts w:ascii="Times New Roman" w:hAnsi="Times New Roman"/>
          <w:sz w:val="26"/>
          <w:szCs w:val="26"/>
          <w:lang w:val="es-ES"/>
        </w:rPr>
        <w:t xml:space="preserve"> en cuanto al fondo del asunto </w:t>
      </w:r>
      <w:r w:rsidRPr="00245EF8">
        <w:rPr>
          <w:rFonts w:ascii="Times New Roman" w:hAnsi="Times New Roman"/>
          <w:sz w:val="26"/>
          <w:szCs w:val="26"/>
          <w:lang w:val="es-ES"/>
        </w:rPr>
        <w:t xml:space="preserve">la Dirección de Asuntos Jurídicos del Consejo de Transporte Público en su Oficio No. DAJ 2014004390 del 18 de Noviembre del 2014, </w:t>
      </w:r>
      <w:r>
        <w:rPr>
          <w:rFonts w:ascii="Times New Roman" w:hAnsi="Times New Roman"/>
          <w:sz w:val="26"/>
          <w:szCs w:val="26"/>
          <w:lang w:val="es-ES"/>
        </w:rPr>
        <w:t xml:space="preserve">determina que </w:t>
      </w:r>
      <w:r w:rsidRPr="00245EF8">
        <w:rPr>
          <w:rFonts w:ascii="Times New Roman" w:hAnsi="Times New Roman"/>
          <w:sz w:val="26"/>
          <w:szCs w:val="26"/>
          <w:lang w:val="es-ES"/>
        </w:rPr>
        <w:t xml:space="preserve">la Normativa del Transporte Público y, en general, la Normativa Administrativa aplicable, no parece presentar un Tiempo Definido a efecto de la Ejecución de un Acto Disciplinario/Sancionatorio; amén de que </w:t>
      </w:r>
      <w:r>
        <w:rPr>
          <w:rFonts w:ascii="Times New Roman" w:hAnsi="Times New Roman"/>
          <w:sz w:val="26"/>
          <w:szCs w:val="26"/>
          <w:lang w:val="es-ES"/>
        </w:rPr>
        <w:t xml:space="preserve">aduce que </w:t>
      </w:r>
      <w:r w:rsidRPr="00245EF8">
        <w:rPr>
          <w:rFonts w:ascii="Times New Roman" w:hAnsi="Times New Roman"/>
          <w:sz w:val="26"/>
          <w:szCs w:val="26"/>
          <w:lang w:val="es-ES"/>
        </w:rPr>
        <w:t xml:space="preserve">la Caducidad del Procedimiento se puede dar durante su Etapa de </w:t>
      </w:r>
      <w:r w:rsidRPr="00245EF8">
        <w:rPr>
          <w:rFonts w:ascii="Times New Roman" w:hAnsi="Times New Roman"/>
          <w:sz w:val="26"/>
          <w:szCs w:val="26"/>
          <w:lang w:val="es-ES"/>
        </w:rPr>
        <w:lastRenderedPageBreak/>
        <w:t>Desarrollo y/o Sustanciación y no tanto así en cuanto a la Etapa de Ejecución de los Actos Finales que se hayan dispuesto</w:t>
      </w:r>
      <w:r>
        <w:rPr>
          <w:rFonts w:ascii="Times New Roman" w:hAnsi="Times New Roman"/>
          <w:sz w:val="26"/>
          <w:szCs w:val="26"/>
          <w:lang w:val="es-ES"/>
        </w:rPr>
        <w:t xml:space="preserve"> en razón del mismo</w:t>
      </w:r>
      <w:r w:rsidRPr="00245EF8">
        <w:rPr>
          <w:rFonts w:ascii="Times New Roman" w:hAnsi="Times New Roman"/>
          <w:sz w:val="26"/>
          <w:szCs w:val="26"/>
          <w:lang w:val="es-ES"/>
        </w:rPr>
        <w:t>.</w:t>
      </w:r>
    </w:p>
    <w:p w:rsidR="00EA783D" w:rsidRPr="00245EF8" w:rsidRDefault="00EA783D" w:rsidP="00EA783D">
      <w:pPr>
        <w:spacing w:line="240" w:lineRule="auto"/>
        <w:jc w:val="both"/>
        <w:rPr>
          <w:rFonts w:ascii="Times New Roman" w:hAnsi="Times New Roman"/>
          <w:sz w:val="26"/>
          <w:szCs w:val="26"/>
          <w:lang w:val="es-MX"/>
        </w:rPr>
      </w:pPr>
      <w:r>
        <w:rPr>
          <w:rFonts w:ascii="Times New Roman" w:hAnsi="Times New Roman"/>
          <w:sz w:val="26"/>
          <w:szCs w:val="26"/>
          <w:lang w:val="es-ES"/>
        </w:rPr>
        <w:t>Má</w:t>
      </w:r>
      <w:r w:rsidRPr="00245EF8">
        <w:rPr>
          <w:rFonts w:ascii="Times New Roman" w:hAnsi="Times New Roman"/>
          <w:sz w:val="26"/>
          <w:szCs w:val="26"/>
          <w:lang w:val="es-ES"/>
        </w:rPr>
        <w:t>s no obstante lo anterior y en su detrimento, en lo paralelo a este Caso, el Tribunal de Casación de lo Contencioso Administrativo y Civil de Hacienda, vino de terminar que para la Ejecución de Acciones Sancionatorias, dada la necesaria prevalencia de la Seguridad Jurídica y de la Justicia, es dable la Homologación u Observancia del Plazo de Caducidad dispuesto por la Ley General de la Administración Pública (</w:t>
      </w:r>
      <w:r w:rsidRPr="00245EF8">
        <w:rPr>
          <w:rFonts w:ascii="Times New Roman" w:hAnsi="Times New Roman"/>
          <w:i/>
          <w:sz w:val="26"/>
          <w:szCs w:val="26"/>
          <w:lang w:val="es-ES"/>
        </w:rPr>
        <w:t>SEIS MESES</w:t>
      </w:r>
      <w:r w:rsidRPr="00245EF8">
        <w:rPr>
          <w:rFonts w:ascii="Times New Roman" w:hAnsi="Times New Roman"/>
          <w:sz w:val="26"/>
          <w:szCs w:val="26"/>
          <w:lang w:val="es-ES"/>
        </w:rPr>
        <w:t>). Se</w:t>
      </w:r>
      <w:r w:rsidRPr="00245EF8">
        <w:rPr>
          <w:rFonts w:ascii="Times New Roman" w:hAnsi="Times New Roman"/>
          <w:sz w:val="26"/>
          <w:szCs w:val="26"/>
          <w:lang w:val="es-MX"/>
        </w:rPr>
        <w:t xml:space="preserve"> trata de la </w:t>
      </w:r>
      <w:r w:rsidRPr="00245EF8">
        <w:rPr>
          <w:rFonts w:ascii="Times New Roman" w:hAnsi="Times New Roman"/>
          <w:b/>
          <w:sz w:val="26"/>
          <w:szCs w:val="26"/>
          <w:lang w:val="es-MX"/>
        </w:rPr>
        <w:t>Resolución No. 2013-00118 de las 08:50 horas del 12 de Diciembre del año 2013 (</w:t>
      </w:r>
      <w:r w:rsidRPr="00245EF8">
        <w:rPr>
          <w:rFonts w:ascii="Times New Roman" w:hAnsi="Times New Roman"/>
          <w:b/>
          <w:i/>
          <w:sz w:val="26"/>
          <w:szCs w:val="26"/>
          <w:lang w:val="es-MX"/>
        </w:rPr>
        <w:t>Expediente No. 10-004328-1027-CA</w:t>
      </w:r>
      <w:r w:rsidRPr="00245EF8">
        <w:rPr>
          <w:rFonts w:ascii="Times New Roman" w:hAnsi="Times New Roman"/>
          <w:b/>
          <w:sz w:val="26"/>
          <w:szCs w:val="26"/>
          <w:lang w:val="es-MX"/>
        </w:rPr>
        <w:t>)</w:t>
      </w:r>
      <w:r w:rsidRPr="00245EF8">
        <w:rPr>
          <w:rFonts w:ascii="Times New Roman" w:hAnsi="Times New Roman"/>
          <w:sz w:val="26"/>
          <w:szCs w:val="26"/>
          <w:lang w:val="es-MX"/>
        </w:rPr>
        <w:t>, el cual al analizar la tesis sostenida por el Tribunal de lo Contencioso Administrativo en cuanto al tema de interés y valorando lo estimado por el referido Tribunal al determinar que vale la homologación del Plazo de Caducidad para determinar el Plazo en que la Inactividad de la Administración conlleva su Imposibilidad de Acción y/o Ejecución Tardía; expresando en lo conducente:</w:t>
      </w:r>
    </w:p>
    <w:p w:rsidR="00EA783D" w:rsidRPr="00245EF8" w:rsidRDefault="00EA783D" w:rsidP="00EA783D">
      <w:pPr>
        <w:pStyle w:val="NormalWeb"/>
        <w:ind w:left="567" w:right="616"/>
        <w:jc w:val="both"/>
        <w:rPr>
          <w:color w:val="000000"/>
          <w:sz w:val="26"/>
          <w:szCs w:val="26"/>
        </w:rPr>
      </w:pPr>
      <w:r w:rsidRPr="00245EF8">
        <w:rPr>
          <w:b/>
          <w:bCs/>
          <w:color w:val="000000"/>
          <w:sz w:val="26"/>
          <w:szCs w:val="26"/>
        </w:rPr>
        <w:t xml:space="preserve">“IV.- </w:t>
      </w:r>
      <w:r w:rsidRPr="00245EF8">
        <w:rPr>
          <w:color w:val="000000"/>
          <w:sz w:val="26"/>
          <w:szCs w:val="26"/>
        </w:rPr>
        <w:t>Como</w:t>
      </w:r>
      <w:r w:rsidRPr="00245EF8">
        <w:rPr>
          <w:rStyle w:val="apple-converted-space"/>
          <w:color w:val="000000"/>
          <w:sz w:val="26"/>
          <w:szCs w:val="26"/>
        </w:rPr>
        <w:t> </w:t>
      </w:r>
      <w:r w:rsidRPr="00245EF8">
        <w:rPr>
          <w:b/>
          <w:bCs/>
          <w:color w:val="000000"/>
          <w:sz w:val="26"/>
          <w:szCs w:val="26"/>
        </w:rPr>
        <w:t>único</w:t>
      </w:r>
      <w:r w:rsidRPr="00245EF8">
        <w:rPr>
          <w:rStyle w:val="apple-converted-space"/>
          <w:b/>
          <w:bCs/>
          <w:color w:val="000000"/>
          <w:sz w:val="26"/>
          <w:szCs w:val="26"/>
        </w:rPr>
        <w:t> </w:t>
      </w:r>
      <w:r w:rsidRPr="00245EF8">
        <w:rPr>
          <w:color w:val="000000"/>
          <w:sz w:val="26"/>
          <w:szCs w:val="26"/>
        </w:rPr>
        <w:t>reproche de fondo, acusa, aplicación indebida del artículo 340 inciso 1) de</w:t>
      </w:r>
      <w:r w:rsidRPr="00245EF8">
        <w:rPr>
          <w:rStyle w:val="apple-converted-space"/>
          <w:color w:val="000000"/>
          <w:sz w:val="26"/>
          <w:szCs w:val="26"/>
        </w:rPr>
        <w:t> </w:t>
      </w:r>
      <w:r w:rsidRPr="00245EF8">
        <w:rPr>
          <w:color w:val="000000"/>
          <w:sz w:val="26"/>
          <w:szCs w:val="26"/>
        </w:rPr>
        <w:t>la Ley General</w:t>
      </w:r>
      <w:r w:rsidRPr="00245EF8">
        <w:rPr>
          <w:rStyle w:val="apple-converted-space"/>
          <w:color w:val="000000"/>
          <w:sz w:val="26"/>
          <w:szCs w:val="26"/>
        </w:rPr>
        <w:t> </w:t>
      </w:r>
      <w:r w:rsidRPr="00245EF8">
        <w:rPr>
          <w:color w:val="000000"/>
          <w:sz w:val="26"/>
          <w:szCs w:val="26"/>
        </w:rPr>
        <w:t>de la Administración Pública</w:t>
      </w:r>
      <w:r w:rsidRPr="00245EF8">
        <w:rPr>
          <w:rStyle w:val="apple-converted-space"/>
          <w:color w:val="000000"/>
          <w:sz w:val="26"/>
          <w:szCs w:val="26"/>
        </w:rPr>
        <w:t> </w:t>
      </w:r>
      <w:r w:rsidRPr="00245EF8">
        <w:rPr>
          <w:color w:val="000000"/>
          <w:sz w:val="26"/>
          <w:szCs w:val="26"/>
        </w:rPr>
        <w:t xml:space="preserve">(LGAP), así como, una falta de integración de los cánones 198, 364 del mismo cuerpo normativo y 868 del Código Civil (CC). </w:t>
      </w:r>
      <w:r w:rsidRPr="00245EF8">
        <w:rPr>
          <w:b/>
          <w:color w:val="000000"/>
          <w:sz w:val="26"/>
          <w:szCs w:val="26"/>
        </w:rPr>
        <w:t>El Tribunal, aduce, estableció el plazo de prescripción de la potestad ejecutoria de un acto administrativo</w:t>
      </w:r>
      <w:r w:rsidRPr="00245EF8">
        <w:rPr>
          <w:rStyle w:val="apple-converted-space"/>
          <w:b/>
          <w:color w:val="000000"/>
          <w:sz w:val="26"/>
          <w:szCs w:val="26"/>
        </w:rPr>
        <w:t> </w:t>
      </w:r>
      <w:r w:rsidRPr="00245EF8">
        <w:rPr>
          <w:b/>
          <w:color w:val="000000"/>
          <w:sz w:val="26"/>
          <w:szCs w:val="26"/>
        </w:rPr>
        <w:t>firme a tenor de lo dispuesto en el precepto 340 inciso 1) de</w:t>
      </w:r>
      <w:r w:rsidRPr="00245EF8">
        <w:rPr>
          <w:rStyle w:val="apple-converted-space"/>
          <w:b/>
          <w:color w:val="000000"/>
          <w:sz w:val="26"/>
          <w:szCs w:val="26"/>
        </w:rPr>
        <w:t> </w:t>
      </w:r>
      <w:r w:rsidRPr="00245EF8">
        <w:rPr>
          <w:b/>
          <w:color w:val="000000"/>
          <w:sz w:val="26"/>
          <w:szCs w:val="26"/>
        </w:rPr>
        <w:t>la LGAP, norma que alude a la caducidad</w:t>
      </w:r>
      <w:r w:rsidRPr="00245EF8">
        <w:rPr>
          <w:rStyle w:val="apple-converted-space"/>
          <w:b/>
          <w:color w:val="000000"/>
          <w:sz w:val="26"/>
          <w:szCs w:val="26"/>
        </w:rPr>
        <w:t> </w:t>
      </w:r>
      <w:r w:rsidRPr="00245EF8">
        <w:rPr>
          <w:b/>
          <w:color w:val="000000"/>
          <w:sz w:val="26"/>
          <w:szCs w:val="26"/>
        </w:rPr>
        <w:t>cuando el procedimiento</w:t>
      </w:r>
      <w:r w:rsidRPr="00245EF8">
        <w:rPr>
          <w:rStyle w:val="apple-converted-space"/>
          <w:b/>
          <w:color w:val="000000"/>
          <w:sz w:val="26"/>
          <w:szCs w:val="26"/>
        </w:rPr>
        <w:t> </w:t>
      </w:r>
      <w:r w:rsidRPr="00245EF8">
        <w:rPr>
          <w:b/>
          <w:color w:val="000000"/>
          <w:sz w:val="26"/>
          <w:szCs w:val="26"/>
        </w:rPr>
        <w:t>se paralice por más de seis meses, lo que no resulta aplicable en la especie, pues el procedimiento</w:t>
      </w:r>
      <w:r w:rsidRPr="00245EF8">
        <w:rPr>
          <w:rStyle w:val="apple-converted-space"/>
          <w:b/>
          <w:color w:val="000000"/>
          <w:sz w:val="26"/>
          <w:szCs w:val="26"/>
        </w:rPr>
        <w:t> </w:t>
      </w:r>
      <w:r w:rsidRPr="00245EF8">
        <w:rPr>
          <w:b/>
          <w:color w:val="000000"/>
          <w:sz w:val="26"/>
          <w:szCs w:val="26"/>
        </w:rPr>
        <w:t>terminó por acto final firme.</w:t>
      </w:r>
      <w:r w:rsidRPr="00245EF8">
        <w:rPr>
          <w:color w:val="000000"/>
          <w:sz w:val="26"/>
          <w:szCs w:val="26"/>
        </w:rPr>
        <w:t xml:space="preserve"> En su criterio, los juzgadores al emplear el precepto de comentario hicieron extensivo, de forma temporal, un supuesto establecido para regular un</w:t>
      </w:r>
      <w:r w:rsidRPr="00245EF8">
        <w:rPr>
          <w:rStyle w:val="apple-converted-space"/>
          <w:color w:val="000000"/>
          <w:sz w:val="26"/>
          <w:szCs w:val="26"/>
        </w:rPr>
        <w:t> procedimiento</w:t>
      </w:r>
      <w:r w:rsidRPr="00245EF8">
        <w:rPr>
          <w:color w:val="000000"/>
          <w:sz w:val="26"/>
          <w:szCs w:val="26"/>
        </w:rPr>
        <w:t>, más no una potestad creada con posterioridad a su instrucción. El espíritu</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mandato en cuestión, apunta, corresponde a la etapa de instrucción</w:t>
      </w:r>
      <w:r w:rsidRPr="00245EF8">
        <w:rPr>
          <w:rStyle w:val="apple-converted-space"/>
          <w:color w:val="000000"/>
          <w:sz w:val="26"/>
          <w:szCs w:val="26"/>
        </w:rPr>
        <w:t> </w:t>
      </w:r>
      <w:r w:rsidRPr="00245EF8">
        <w:rPr>
          <w:color w:val="000000"/>
          <w:sz w:val="26"/>
          <w:szCs w:val="26"/>
        </w:rPr>
        <w:t>del procedimiento administrativo</w:t>
      </w:r>
      <w:r w:rsidRPr="00245EF8">
        <w:rPr>
          <w:rStyle w:val="apple-converted-space"/>
          <w:color w:val="000000"/>
          <w:sz w:val="26"/>
          <w:szCs w:val="26"/>
        </w:rPr>
        <w:t> </w:t>
      </w:r>
      <w:r w:rsidRPr="00245EF8">
        <w:rPr>
          <w:color w:val="000000"/>
          <w:sz w:val="26"/>
          <w:szCs w:val="26"/>
        </w:rPr>
        <w:t>y no, a la ejecución</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acto derivado de ella. Considerar lo contrario, reclama, significa ampliar de forma irracional y desproporcionada el ámbito de aplicación de ese artículo, en violación de la ley y de la integración</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ordenamiento jurídico. De acuerdo al canon 868</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CC, destaca, la regla de prescripción decenal admite las excepciones que señalan los numerales siguientes y las demás establecidas expresamente por la ley. Por su parte, agrega, el mandato 364 de</w:t>
      </w:r>
      <w:r w:rsidRPr="00245EF8">
        <w:rPr>
          <w:rStyle w:val="apple-converted-space"/>
          <w:color w:val="000000"/>
          <w:sz w:val="26"/>
          <w:szCs w:val="26"/>
        </w:rPr>
        <w:t> </w:t>
      </w:r>
      <w:r w:rsidRPr="00245EF8">
        <w:rPr>
          <w:color w:val="000000"/>
          <w:sz w:val="26"/>
          <w:szCs w:val="26"/>
        </w:rPr>
        <w:t>la LGAP consagra el carácter de orden público de ese cuerpo normativo. Así las cosas, apunta, sí legalmente existe un plazo de responsabilidad (198 LGAP), este será el mismo por medio del cual se extinguirá por caducidad</w:t>
      </w:r>
      <w:r w:rsidRPr="00245EF8">
        <w:rPr>
          <w:rStyle w:val="apple-converted-space"/>
          <w:color w:val="000000"/>
          <w:sz w:val="26"/>
          <w:szCs w:val="26"/>
        </w:rPr>
        <w:t> </w:t>
      </w:r>
      <w:r w:rsidRPr="00245EF8">
        <w:rPr>
          <w:color w:val="000000"/>
          <w:sz w:val="26"/>
          <w:szCs w:val="26"/>
        </w:rPr>
        <w:t xml:space="preserve">la responsabilidad derivada de la instrucción de un procedimiento administrativo, de manera que, en su criterio, el plazo </w:t>
      </w:r>
      <w:r w:rsidRPr="00245EF8">
        <w:rPr>
          <w:color w:val="000000"/>
          <w:sz w:val="26"/>
          <w:szCs w:val="26"/>
        </w:rPr>
        <w:lastRenderedPageBreak/>
        <w:t>de prescripción de la ejecución de la potestad sancionatoria es de cuatro años.</w:t>
      </w:r>
    </w:p>
    <w:p w:rsidR="00EA783D" w:rsidRPr="00245EF8" w:rsidRDefault="00EA783D" w:rsidP="00EA783D">
      <w:pPr>
        <w:pStyle w:val="NormalWeb"/>
        <w:ind w:left="567" w:right="616"/>
        <w:jc w:val="both"/>
        <w:rPr>
          <w:color w:val="000000"/>
          <w:sz w:val="26"/>
          <w:szCs w:val="26"/>
        </w:rPr>
      </w:pPr>
      <w:r w:rsidRPr="00245EF8">
        <w:rPr>
          <w:b/>
          <w:bCs/>
          <w:color w:val="000000"/>
          <w:sz w:val="26"/>
          <w:szCs w:val="26"/>
        </w:rPr>
        <w:t xml:space="preserve">V.- </w:t>
      </w:r>
      <w:r w:rsidRPr="00245EF8">
        <w:rPr>
          <w:color w:val="000000"/>
          <w:sz w:val="26"/>
          <w:szCs w:val="26"/>
        </w:rPr>
        <w:t>El punto fundamental</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recurso estriba en determinar el plazo que tiene el Colegio para ejecutar un acto sancionatorio firme y así, establecer si existe o no una nulidad absoluta</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acto que lo suspende por tres años, al haber ejercido durante la suspensión de dos meses. Para un mayor orden expositivo, resulta conveniente analizar, en primer término, si dicha potestad se encuentra sujeta a un plazo de caducidad o de prescripción, para de seguido examinar la pertinencia de los alegatos</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ente gremial y del Tribunal, para finalmente, valorar su aplicación al caso en estudio. En torno al primer aspecto, cabe destacar que no existe disposición jurídica expresa, ni en la normativa específica</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Colegio ni en</w:t>
      </w:r>
      <w:r w:rsidRPr="00245EF8">
        <w:rPr>
          <w:rStyle w:val="apple-converted-space"/>
          <w:color w:val="000000"/>
          <w:sz w:val="26"/>
          <w:szCs w:val="26"/>
        </w:rPr>
        <w:t> </w:t>
      </w:r>
      <w:r w:rsidRPr="00245EF8">
        <w:rPr>
          <w:color w:val="000000"/>
          <w:sz w:val="26"/>
          <w:szCs w:val="26"/>
        </w:rPr>
        <w:t>la LGAP</w:t>
      </w:r>
      <w:r w:rsidRPr="00245EF8">
        <w:rPr>
          <w:rStyle w:val="apple-converted-space"/>
          <w:color w:val="000000"/>
          <w:sz w:val="26"/>
          <w:szCs w:val="26"/>
        </w:rPr>
        <w:t> </w:t>
      </w:r>
      <w:r w:rsidRPr="00245EF8">
        <w:rPr>
          <w:color w:val="000000"/>
          <w:sz w:val="26"/>
          <w:szCs w:val="26"/>
        </w:rPr>
        <w:t>u otro cuerpo legal, que regule el punto en cuestión. Esa constatación resulta de particular importancia por cuanto la doctrina establece que, la fijación de términos de caducidad</w:t>
      </w:r>
      <w:r w:rsidRPr="00245EF8">
        <w:rPr>
          <w:rStyle w:val="apple-converted-space"/>
          <w:color w:val="000000"/>
          <w:sz w:val="26"/>
          <w:szCs w:val="26"/>
        </w:rPr>
        <w:t> </w:t>
      </w:r>
      <w:r w:rsidRPr="00245EF8">
        <w:rPr>
          <w:color w:val="000000"/>
          <w:sz w:val="26"/>
          <w:szCs w:val="26"/>
        </w:rPr>
        <w:t>requiere de su regulación mediante una norma con rango de ley. En esta línea se decanta la redacción</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artículo 66 de</w:t>
      </w:r>
      <w:r w:rsidRPr="00245EF8">
        <w:rPr>
          <w:rStyle w:val="apple-converted-space"/>
          <w:color w:val="000000"/>
          <w:sz w:val="26"/>
          <w:szCs w:val="26"/>
        </w:rPr>
        <w:t> </w:t>
      </w:r>
      <w:r w:rsidRPr="00245EF8">
        <w:rPr>
          <w:color w:val="000000"/>
          <w:sz w:val="26"/>
          <w:szCs w:val="26"/>
        </w:rPr>
        <w:t>la LGAP, según el cual: “</w:t>
      </w:r>
      <w:r w:rsidRPr="00245EF8">
        <w:rPr>
          <w:i/>
          <w:iCs/>
          <w:color w:val="000000"/>
          <w:sz w:val="26"/>
          <w:szCs w:val="26"/>
        </w:rPr>
        <w:t xml:space="preserve">1. Las potestades de imperio y su ejercicio, y los deberes públicos y su cumplimiento, serán irrenunciables, intransmisibles e imprescriptibles. / 2. Sólo por ley podrán establecerse compromisos de no ejercer una potestad de imperio. Dicho compromiso sólo podrá darse dentro de un acto o contrato bilateral y oneroso. / 3. El ejercicio de las potestades en casos concretos podrá estar expresamente sujeto a </w:t>
      </w:r>
      <w:r w:rsidRPr="00245EF8">
        <w:rPr>
          <w:color w:val="000000"/>
          <w:sz w:val="26"/>
          <w:szCs w:val="26"/>
        </w:rPr>
        <w:t>caducidad</w:t>
      </w:r>
      <w:r w:rsidRPr="00245EF8">
        <w:rPr>
          <w:rStyle w:val="apple-converted-space"/>
          <w:i/>
          <w:iCs/>
          <w:color w:val="000000"/>
          <w:sz w:val="26"/>
          <w:szCs w:val="26"/>
        </w:rPr>
        <w:t> </w:t>
      </w:r>
      <w:r w:rsidRPr="00245EF8">
        <w:rPr>
          <w:i/>
          <w:iCs/>
          <w:color w:val="000000"/>
          <w:sz w:val="26"/>
          <w:szCs w:val="26"/>
        </w:rPr>
        <w:t>en virtud de otras leyes.</w:t>
      </w:r>
      <w:r w:rsidRPr="00245EF8">
        <w:rPr>
          <w:color w:val="000000"/>
          <w:sz w:val="26"/>
          <w:szCs w:val="26"/>
        </w:rPr>
        <w:t>”. De lo indicado hasta el momento, se podría plantear como una conclusión preliminar que, ante la ausencia de regulación, el ejercicio temporal de la potestad en disputa no se encuentra limitado, y por ende, se impone el criterio de la imprescriptibilidad. Empero, una aplicación</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precepto transcrito en forma absoluta lleva al quebranto de otras normas y principios de igual rango normativo, o incluso superior. En criterio de este Órgano Casacional, de no admitirse la procedencia de un plazo de caducidad</w:t>
      </w:r>
      <w:r w:rsidRPr="00245EF8">
        <w:rPr>
          <w:rStyle w:val="apple-converted-space"/>
          <w:color w:val="000000"/>
          <w:sz w:val="26"/>
          <w:szCs w:val="26"/>
        </w:rPr>
        <w:t> </w:t>
      </w:r>
      <w:r w:rsidRPr="00245EF8">
        <w:rPr>
          <w:color w:val="000000"/>
          <w:sz w:val="26"/>
          <w:szCs w:val="26"/>
        </w:rPr>
        <w:t>para ejecutar una sanción que se encuentra firme, sobre la base de una omisión legislativa, se incurriría en el quebranto de derechos de orden constitucional. En primer lugar, se vulnera el artículo 40 de</w:t>
      </w:r>
      <w:r w:rsidRPr="00245EF8">
        <w:rPr>
          <w:rStyle w:val="apple-converted-space"/>
          <w:color w:val="000000"/>
          <w:sz w:val="26"/>
          <w:szCs w:val="26"/>
        </w:rPr>
        <w:t> </w:t>
      </w:r>
      <w:r w:rsidRPr="00245EF8">
        <w:rPr>
          <w:color w:val="000000"/>
          <w:sz w:val="26"/>
          <w:szCs w:val="26"/>
        </w:rPr>
        <w:t>la Constitución Política, el cual establece: “</w:t>
      </w:r>
      <w:r w:rsidRPr="00245EF8">
        <w:rPr>
          <w:i/>
          <w:iCs/>
          <w:color w:val="000000"/>
          <w:sz w:val="26"/>
          <w:szCs w:val="26"/>
        </w:rPr>
        <w:t>Nadie será sometido a tratamientos crueles o degradantes</w:t>
      </w:r>
      <w:r w:rsidRPr="00245EF8">
        <w:rPr>
          <w:rStyle w:val="apple-converted-space"/>
          <w:i/>
          <w:iCs/>
          <w:color w:val="000000"/>
          <w:sz w:val="26"/>
          <w:szCs w:val="26"/>
        </w:rPr>
        <w:t> </w:t>
      </w:r>
      <w:r w:rsidRPr="00245EF8">
        <w:rPr>
          <w:i/>
          <w:iCs/>
          <w:color w:val="000000"/>
          <w:sz w:val="26"/>
          <w:szCs w:val="26"/>
          <w:u w:val="single"/>
        </w:rPr>
        <w:t>ni a penas perpetuas</w:t>
      </w:r>
      <w:r w:rsidRPr="00245EF8">
        <w:rPr>
          <w:i/>
          <w:iCs/>
          <w:color w:val="000000"/>
          <w:sz w:val="26"/>
          <w:szCs w:val="26"/>
        </w:rPr>
        <w:t>, ni a la pena de confiscación.</w:t>
      </w:r>
      <w:r w:rsidRPr="00245EF8">
        <w:rPr>
          <w:rStyle w:val="apple-converted-space"/>
          <w:color w:val="000000"/>
          <w:sz w:val="26"/>
          <w:szCs w:val="26"/>
        </w:rPr>
        <w:t> </w:t>
      </w:r>
      <w:r w:rsidRPr="00245EF8">
        <w:rPr>
          <w:color w:val="000000"/>
          <w:sz w:val="26"/>
          <w:szCs w:val="26"/>
        </w:rPr>
        <w:t xml:space="preserve">[…]” (el subrayado es suplido). El precepto transcrito se refiere específicamente a la extensión de la sanción, la cual, no puede ser ilimitada, sin embargo su contenido no se circunscribe a dicho supuesto. Muestra de ello se puede encontrar en la jurisprudencia constitucional, en donde la aplicación de esta norma no se ha confinado a la materia penal o sancionatoria, sino que se puede detectar su proyección, por ejemplo, en lo que se refiere al tratamiento de datos personales, y más específico, en lo que se ha denominado el derecho al olvido. Al respecto </w:t>
      </w:r>
      <w:r w:rsidRPr="00245EF8">
        <w:rPr>
          <w:color w:val="000000"/>
          <w:sz w:val="26"/>
          <w:szCs w:val="26"/>
        </w:rPr>
        <w:lastRenderedPageBreak/>
        <w:t>puede consultarse la sentencia no. 2004-04626 de las 12 horas 4 minutos del 30 de abril de 2004. Precisamente, dentro de la fuerza expansiva propia de los derechos fundamentales, se puede inferir del precepto en cuestión (40 de</w:t>
      </w:r>
      <w:r w:rsidRPr="00245EF8">
        <w:rPr>
          <w:rStyle w:val="apple-converted-space"/>
          <w:color w:val="000000"/>
          <w:sz w:val="26"/>
          <w:szCs w:val="26"/>
        </w:rPr>
        <w:t> </w:t>
      </w:r>
      <w:r w:rsidRPr="00245EF8">
        <w:rPr>
          <w:color w:val="000000"/>
          <w:sz w:val="26"/>
          <w:szCs w:val="26"/>
        </w:rPr>
        <w:t>la Carta Magna), como principio, que la ejecución de un acto mediante el cual se impuso una sanción no puede diferirse en forma indefinida en el tiempo. La anterior formulación encuentra sustento, además, en el principio de seguridad jurídica, también de raigambre constitucional. Cabe recordar que</w:t>
      </w:r>
      <w:r w:rsidRPr="00245EF8">
        <w:rPr>
          <w:rStyle w:val="apple-converted-space"/>
          <w:color w:val="000000"/>
          <w:sz w:val="26"/>
          <w:szCs w:val="26"/>
        </w:rPr>
        <w:t> </w:t>
      </w:r>
      <w:r w:rsidRPr="00245EF8">
        <w:rPr>
          <w:color w:val="000000"/>
          <w:sz w:val="26"/>
          <w:szCs w:val="26"/>
        </w:rPr>
        <w:t>la Sala Constitucional, desde vieja data, ha señalado: “</w:t>
      </w:r>
      <w:r w:rsidRPr="00245EF8">
        <w:rPr>
          <w:i/>
          <w:iCs/>
          <w:color w:val="000000"/>
          <w:sz w:val="26"/>
          <w:szCs w:val="26"/>
        </w:rPr>
        <w:t>La seguridad jurídica constituye un principio general del Derecho, que también puede conceptualizarse como la garantía de todo individuo, por la cual, tiene la certeza de que su situación jurídica no será modificada más que por procedimientos regulares, establecidos previamente, es decir, representa la garantía de la aplicación objetiva de la ley, en tanto los individuos saben en cada momento cuáles son sus derechos y obligaciones.</w:t>
      </w:r>
      <w:r w:rsidRPr="00245EF8">
        <w:rPr>
          <w:rStyle w:val="apple-converted-space"/>
          <w:i/>
          <w:iCs/>
          <w:color w:val="000000"/>
          <w:sz w:val="26"/>
          <w:szCs w:val="26"/>
        </w:rPr>
        <w:t> </w:t>
      </w:r>
      <w:r w:rsidRPr="00245EF8">
        <w:rPr>
          <w:color w:val="000000"/>
          <w:sz w:val="26"/>
          <w:szCs w:val="26"/>
        </w:rPr>
        <w:t>[…]</w:t>
      </w:r>
      <w:r w:rsidRPr="00245EF8">
        <w:rPr>
          <w:rStyle w:val="apple-converted-space"/>
          <w:i/>
          <w:iCs/>
          <w:color w:val="000000"/>
          <w:sz w:val="26"/>
          <w:szCs w:val="26"/>
        </w:rPr>
        <w:t> </w:t>
      </w:r>
      <w:r w:rsidRPr="00245EF8">
        <w:rPr>
          <w:b/>
          <w:bCs/>
          <w:i/>
          <w:iCs/>
          <w:color w:val="000000"/>
          <w:sz w:val="26"/>
          <w:szCs w:val="26"/>
        </w:rPr>
        <w:t>V.-</w:t>
      </w:r>
      <w:r w:rsidRPr="00245EF8">
        <w:rPr>
          <w:i/>
          <w:iCs/>
          <w:color w:val="000000"/>
          <w:sz w:val="26"/>
          <w:szCs w:val="26"/>
        </w:rPr>
        <w:t>En este orden de ideas, si se dejase abierta la posibilidad de accionar en procura de derecho, sin respetar el cumplimiento de plazos y términos por el transcurso del tiempo, las relaciones entre las personas se tornarían inseguras, indefinidas, y cada cual podría reclamar "sine die" por sus derechos, no importando lo sucedido en el pasado.</w:t>
      </w:r>
      <w:r w:rsidRPr="00245EF8">
        <w:rPr>
          <w:rStyle w:val="apple-converted-space"/>
          <w:i/>
          <w:iCs/>
          <w:color w:val="000000"/>
          <w:sz w:val="26"/>
          <w:szCs w:val="26"/>
        </w:rPr>
        <w:t> </w:t>
      </w:r>
      <w:r w:rsidRPr="00245EF8">
        <w:rPr>
          <w:color w:val="000000"/>
          <w:sz w:val="26"/>
          <w:szCs w:val="26"/>
        </w:rPr>
        <w:t>[…]</w:t>
      </w:r>
      <w:r w:rsidRPr="00245EF8">
        <w:rPr>
          <w:rStyle w:val="apple-converted-space"/>
          <w:i/>
          <w:iCs/>
          <w:color w:val="000000"/>
          <w:sz w:val="26"/>
          <w:szCs w:val="26"/>
        </w:rPr>
        <w:t> </w:t>
      </w:r>
      <w:r w:rsidRPr="00245EF8">
        <w:rPr>
          <w:i/>
          <w:iCs/>
          <w:color w:val="000000"/>
          <w:sz w:val="26"/>
          <w:szCs w:val="26"/>
        </w:rPr>
        <w:t>De esta manera, el principio de seguridad jurídica está en la base de todo ordenamiento, y que se traduce en la necesidad de que las situaciones jurídicas consumadas no se mantengan en estado precario todo el tiempo, con menoscabo del orden público y la paz sociales (sic).</w:t>
      </w:r>
      <w:r w:rsidRPr="00245EF8">
        <w:rPr>
          <w:color w:val="000000"/>
          <w:sz w:val="26"/>
          <w:szCs w:val="26"/>
        </w:rPr>
        <w:t>” (Sentencia 2000-00878 de las 16 horas 12 minutos</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26 de enero de 2000). Lo indicado en el fallo recién trascrito resulta aún más crítico tratándose de la materia sancionatoria, la cual, por definición, afecta la esfera jurídica</w:t>
      </w:r>
      <w:r w:rsidRPr="00245EF8">
        <w:rPr>
          <w:rStyle w:val="apple-converted-space"/>
          <w:color w:val="000000"/>
          <w:sz w:val="26"/>
          <w:szCs w:val="26"/>
        </w:rPr>
        <w:t> </w:t>
      </w:r>
      <w:r w:rsidRPr="00245EF8">
        <w:rPr>
          <w:color w:val="000000"/>
          <w:sz w:val="26"/>
          <w:szCs w:val="26"/>
        </w:rPr>
        <w:t>del</w:t>
      </w:r>
      <w:r w:rsidRPr="00245EF8">
        <w:rPr>
          <w:rStyle w:val="apple-converted-space"/>
          <w:color w:val="000000"/>
          <w:sz w:val="26"/>
          <w:szCs w:val="26"/>
        </w:rPr>
        <w:t> </w:t>
      </w:r>
      <w:r w:rsidRPr="00245EF8">
        <w:rPr>
          <w:color w:val="000000"/>
          <w:sz w:val="26"/>
          <w:szCs w:val="26"/>
        </w:rPr>
        <w:t>particular. De hecho, la necesidad de certeza en este campo, como concepto básico y límite del actuar administrativo, no constituye una novedad en la jurisprudencia de esta Cámara; baste señalar la interpretación que se ha esbozado en torno al tema de la prescripción y cómo, resulta contrario a derecho cualquier interpretación que tenga como resultado una indeterminación o prolongación indefinida del punto de partida de su cómputo, sobre la base de la necesaria certeza jurídica que debe existir en las relaciones jurídicas (v.gr. sentencias 111-F-TC-2010 de las 14 horas 15 minutos del 26 de mayo de 2010 de este Tribunal y 479-F-S1-2011 de las 11 horas 40 minutos del 7 de abril de 2011 de</w:t>
      </w:r>
      <w:r w:rsidRPr="00245EF8">
        <w:rPr>
          <w:rStyle w:val="apple-converted-space"/>
          <w:color w:val="000000"/>
          <w:sz w:val="26"/>
          <w:szCs w:val="26"/>
        </w:rPr>
        <w:t> </w:t>
      </w:r>
      <w:r w:rsidRPr="00245EF8">
        <w:rPr>
          <w:color w:val="000000"/>
          <w:sz w:val="26"/>
          <w:szCs w:val="26"/>
        </w:rPr>
        <w:t>la Sala Primera). Así, el que la ejecución de la sanción penda sobre el particular en forma indefinida, genera una incertidumbre que atenta contra su esfera jurídica y derechos fundamentales, situación que resulta inadmisible, y conlleva, entonces, a la necesidad de que exista un plazo máximo a partir del cual resulte inejecutable, como consecuencia de la inercia administrativa, constitutiva de un actuar irregular (antijurídico) de</w:t>
      </w:r>
      <w:r w:rsidRPr="00245EF8">
        <w:rPr>
          <w:rStyle w:val="apple-converted-space"/>
          <w:color w:val="000000"/>
          <w:sz w:val="26"/>
          <w:szCs w:val="26"/>
        </w:rPr>
        <w:t> </w:t>
      </w:r>
      <w:r w:rsidRPr="00245EF8">
        <w:rPr>
          <w:color w:val="000000"/>
          <w:sz w:val="26"/>
          <w:szCs w:val="26"/>
        </w:rPr>
        <w:t>la Administración. Lo</w:t>
      </w:r>
      <w:r w:rsidRPr="00245EF8">
        <w:rPr>
          <w:rStyle w:val="apple-converted-space"/>
          <w:color w:val="000000"/>
          <w:sz w:val="26"/>
          <w:szCs w:val="26"/>
        </w:rPr>
        <w:t> </w:t>
      </w:r>
      <w:r w:rsidRPr="00245EF8">
        <w:rPr>
          <w:color w:val="000000"/>
          <w:sz w:val="26"/>
          <w:szCs w:val="26"/>
        </w:rPr>
        <w:t xml:space="preserve">anterior, </w:t>
      </w:r>
      <w:r w:rsidRPr="00245EF8">
        <w:rPr>
          <w:color w:val="000000"/>
          <w:sz w:val="26"/>
          <w:szCs w:val="26"/>
        </w:rPr>
        <w:lastRenderedPageBreak/>
        <w:t>aunado a lo expuesto sobre el carácter instrumental de la potestad de ejecución del acto, hace que en la especie, no solo sea posible sino además necesario extraer por principio un plazo de caducidad, lo que obedece, se insiste, a la necesidad de tutelar los derechos fundamentales del administrado.</w:t>
      </w:r>
    </w:p>
    <w:p w:rsidR="00EA783D" w:rsidRPr="00245EF8" w:rsidRDefault="00EA783D" w:rsidP="00EA783D">
      <w:pPr>
        <w:pStyle w:val="NormalWeb"/>
        <w:ind w:left="567" w:right="616"/>
        <w:jc w:val="both"/>
        <w:rPr>
          <w:color w:val="000000"/>
          <w:sz w:val="26"/>
          <w:szCs w:val="26"/>
        </w:rPr>
      </w:pPr>
      <w:r w:rsidRPr="00245EF8">
        <w:rPr>
          <w:b/>
          <w:bCs/>
          <w:color w:val="000000"/>
          <w:sz w:val="26"/>
          <w:szCs w:val="26"/>
        </w:rPr>
        <w:t xml:space="preserve">VI.- </w:t>
      </w:r>
      <w:r w:rsidRPr="00245EF8">
        <w:rPr>
          <w:color w:val="000000"/>
          <w:sz w:val="26"/>
          <w:szCs w:val="26"/>
        </w:rPr>
        <w:t>En este punto, es preciso analizar la formulación propuesta por el recurrente y la del Tribunal a efectos de suplir dicho vacío normativo. Para el Colegio, el artículo 198 de</w:t>
      </w:r>
      <w:r w:rsidRPr="00245EF8">
        <w:rPr>
          <w:rStyle w:val="apple-converted-space"/>
          <w:color w:val="000000"/>
          <w:sz w:val="26"/>
          <w:szCs w:val="26"/>
        </w:rPr>
        <w:t> </w:t>
      </w:r>
      <w:r w:rsidRPr="00245EF8">
        <w:rPr>
          <w:color w:val="000000"/>
          <w:sz w:val="26"/>
          <w:szCs w:val="26"/>
        </w:rPr>
        <w:t>la LGAP</w:t>
      </w:r>
      <w:r w:rsidRPr="00245EF8">
        <w:rPr>
          <w:rStyle w:val="apple-converted-space"/>
          <w:color w:val="000000"/>
          <w:sz w:val="26"/>
          <w:szCs w:val="26"/>
        </w:rPr>
        <w:t> </w:t>
      </w:r>
      <w:r w:rsidRPr="00245EF8">
        <w:rPr>
          <w:color w:val="000000"/>
          <w:sz w:val="26"/>
          <w:szCs w:val="26"/>
        </w:rPr>
        <w:t>debe ser la norma aplicable, en su criterio, sí legalmente existe un plazo para sentar la responsabilidad de</w:t>
      </w:r>
      <w:r w:rsidRPr="00245EF8">
        <w:rPr>
          <w:rStyle w:val="apple-converted-space"/>
          <w:color w:val="000000"/>
          <w:sz w:val="26"/>
          <w:szCs w:val="26"/>
        </w:rPr>
        <w:t> </w:t>
      </w:r>
      <w:r w:rsidRPr="00245EF8">
        <w:rPr>
          <w:color w:val="000000"/>
          <w:sz w:val="26"/>
          <w:szCs w:val="26"/>
        </w:rPr>
        <w:t>la Administración, este será el mismo por el cual se extinguirá, por caducidad, la responsabilidad derivada de la instrucción de un procedimiento administrativo. Sobre este particular, el Tribunal rechazó dicha interpretación a partir de las siguientes razones:</w:t>
      </w:r>
      <w:r w:rsidRPr="00245EF8">
        <w:rPr>
          <w:rStyle w:val="apple-converted-space"/>
          <w:color w:val="000000"/>
          <w:sz w:val="26"/>
          <w:szCs w:val="26"/>
        </w:rPr>
        <w:t> </w:t>
      </w:r>
      <w:r w:rsidRPr="00245EF8">
        <w:rPr>
          <w:i/>
          <w:iCs/>
          <w:color w:val="000000"/>
          <w:sz w:val="26"/>
          <w:szCs w:val="26"/>
        </w:rPr>
        <w:t>“(...) se trata de una norma que regula un supuesto de hecho muy diverso al que acá se dirime, pues ese mandato se refiere al plazo para ejercitar el derecho a pretender una indemnización por daños irrogados por acciones u omisiones públicas, o bien, de</w:t>
      </w:r>
      <w:r w:rsidRPr="00245EF8">
        <w:rPr>
          <w:rStyle w:val="apple-converted-space"/>
          <w:i/>
          <w:iCs/>
          <w:color w:val="000000"/>
          <w:sz w:val="26"/>
          <w:szCs w:val="26"/>
        </w:rPr>
        <w:t> </w:t>
      </w:r>
      <w:r w:rsidRPr="00245EF8">
        <w:rPr>
          <w:i/>
          <w:iCs/>
          <w:color w:val="000000"/>
          <w:sz w:val="26"/>
          <w:szCs w:val="26"/>
        </w:rPr>
        <w:t>la Administración</w:t>
      </w:r>
      <w:r w:rsidRPr="00245EF8">
        <w:rPr>
          <w:rStyle w:val="apple-converted-space"/>
          <w:i/>
          <w:iCs/>
          <w:color w:val="000000"/>
          <w:sz w:val="26"/>
          <w:szCs w:val="26"/>
        </w:rPr>
        <w:t> </w:t>
      </w:r>
      <w:r w:rsidRPr="00245EF8">
        <w:rPr>
          <w:i/>
          <w:iCs/>
          <w:color w:val="000000"/>
          <w:sz w:val="26"/>
          <w:szCs w:val="26"/>
        </w:rPr>
        <w:t>hacia un tercero o uno de sus agentes. Es por ende una normativa que regula la prescriptibilidad de derechos indemnizatorios en relaciones de responsabilidad civil extracontractual.(...)".</w:t>
      </w:r>
      <w:r w:rsidRPr="00245EF8">
        <w:rPr>
          <w:rStyle w:val="apple-converted-space"/>
          <w:i/>
          <w:iCs/>
          <w:color w:val="000000"/>
          <w:sz w:val="26"/>
          <w:szCs w:val="26"/>
        </w:rPr>
        <w:t> </w:t>
      </w:r>
      <w:r w:rsidRPr="00245EF8">
        <w:rPr>
          <w:color w:val="000000"/>
          <w:sz w:val="26"/>
          <w:szCs w:val="26"/>
        </w:rPr>
        <w:t>En línea con lo expuesto en el fallo impugnado, estima esta Cámara que, el precepto en cuestión se refiere, exclusivamente, al plazo de prescripción de la responsabilidad patrimonial de</w:t>
      </w:r>
      <w:r w:rsidRPr="00245EF8">
        <w:rPr>
          <w:rStyle w:val="apple-converted-space"/>
          <w:color w:val="000000"/>
          <w:sz w:val="26"/>
          <w:szCs w:val="26"/>
        </w:rPr>
        <w:t> </w:t>
      </w:r>
      <w:r w:rsidRPr="00245EF8">
        <w:rPr>
          <w:color w:val="000000"/>
          <w:sz w:val="26"/>
          <w:szCs w:val="26"/>
        </w:rPr>
        <w:t>la Administración</w:t>
      </w:r>
      <w:r w:rsidRPr="00245EF8">
        <w:rPr>
          <w:rStyle w:val="apple-converted-space"/>
          <w:color w:val="000000"/>
          <w:sz w:val="26"/>
          <w:szCs w:val="26"/>
        </w:rPr>
        <w:t> </w:t>
      </w:r>
      <w:r w:rsidRPr="00245EF8">
        <w:rPr>
          <w:color w:val="000000"/>
          <w:sz w:val="26"/>
          <w:szCs w:val="26"/>
        </w:rPr>
        <w:t>o de los servidores. Se trata de la prescripción del derecho del afectado de exigir la indemnización de un daño irrogado a los sujetos que generaron la conducta lesiva, situación que no puede ser asimilada, ya que no comparte ningún elemento en común, con la ejecución de un acto sancionatorio firme (y por lo tanto ejecutorio), menos aún con una sanción por un incumplimiento a un deber legal. Esta situación fáctica no presenta relación alguna con un supuesto de responsabilidad patrimonial (entendida esta frase en los términos antes mencionados), caracterizado por su naturaleza retributiva, sino que, constituye una función eminentemente represiva y de mantenimiento del orden público. Por los motivos expuestos, resulta inaplicable el numeral 198 de</w:t>
      </w:r>
      <w:r w:rsidRPr="00245EF8">
        <w:rPr>
          <w:rStyle w:val="apple-converted-space"/>
          <w:color w:val="000000"/>
          <w:sz w:val="26"/>
          <w:szCs w:val="26"/>
        </w:rPr>
        <w:t> </w:t>
      </w:r>
      <w:r w:rsidRPr="00245EF8">
        <w:rPr>
          <w:color w:val="000000"/>
          <w:sz w:val="26"/>
          <w:szCs w:val="26"/>
        </w:rPr>
        <w:t>la LGAP</w:t>
      </w:r>
      <w:r w:rsidRPr="00245EF8">
        <w:rPr>
          <w:rStyle w:val="apple-converted-space"/>
          <w:color w:val="000000"/>
          <w:sz w:val="26"/>
          <w:szCs w:val="26"/>
        </w:rPr>
        <w:t> </w:t>
      </w:r>
      <w:r w:rsidRPr="00245EF8">
        <w:rPr>
          <w:color w:val="000000"/>
          <w:sz w:val="26"/>
          <w:szCs w:val="26"/>
        </w:rPr>
        <w:t>para solucionar el vacío normativo que se examina. Cabe ahora valorar la propuesta que brinda el Tribunal. Para los juzgadores, la norma que más se adecua al caso en estudio corresponde al mandado 340 inciso 1) de</w:t>
      </w:r>
      <w:r w:rsidRPr="00245EF8">
        <w:rPr>
          <w:rStyle w:val="apple-converted-space"/>
          <w:color w:val="000000"/>
          <w:sz w:val="26"/>
          <w:szCs w:val="26"/>
        </w:rPr>
        <w:t> </w:t>
      </w:r>
      <w:r w:rsidRPr="00245EF8">
        <w:rPr>
          <w:color w:val="000000"/>
          <w:sz w:val="26"/>
          <w:szCs w:val="26"/>
        </w:rPr>
        <w:t>la LGAP, por las siguientes razones:</w:t>
      </w:r>
      <w:r w:rsidRPr="00245EF8">
        <w:rPr>
          <w:rStyle w:val="apple-converted-space"/>
          <w:color w:val="000000"/>
          <w:sz w:val="26"/>
          <w:szCs w:val="26"/>
        </w:rPr>
        <w:t> </w:t>
      </w:r>
      <w:r w:rsidRPr="00245EF8">
        <w:rPr>
          <w:i/>
          <w:iCs/>
          <w:color w:val="000000"/>
          <w:sz w:val="26"/>
          <w:szCs w:val="26"/>
        </w:rPr>
        <w:t>"(...) por fenómeno de integración analógica, la norma que regula el supuesto de hecho más próximo en cuanto a las consecuencias jurídico-procedimentales de la inercia pública, es precisamente la norma 340 de</w:t>
      </w:r>
      <w:r w:rsidRPr="00245EF8">
        <w:rPr>
          <w:rStyle w:val="apple-converted-space"/>
          <w:i/>
          <w:iCs/>
          <w:color w:val="000000"/>
          <w:sz w:val="26"/>
          <w:szCs w:val="26"/>
        </w:rPr>
        <w:t> </w:t>
      </w:r>
      <w:r w:rsidRPr="00245EF8">
        <w:rPr>
          <w:i/>
          <w:iCs/>
          <w:color w:val="000000"/>
          <w:sz w:val="26"/>
          <w:szCs w:val="26"/>
        </w:rPr>
        <w:t>la Ley No.</w:t>
      </w:r>
      <w:r w:rsidRPr="00245EF8">
        <w:rPr>
          <w:rStyle w:val="apple-converted-space"/>
          <w:i/>
          <w:iCs/>
          <w:color w:val="000000"/>
          <w:sz w:val="26"/>
          <w:szCs w:val="26"/>
        </w:rPr>
        <w:t> </w:t>
      </w:r>
      <w:r w:rsidRPr="00245EF8">
        <w:rPr>
          <w:i/>
          <w:iCs/>
          <w:color w:val="000000"/>
          <w:sz w:val="26"/>
          <w:szCs w:val="26"/>
        </w:rPr>
        <w:t>6227 que precisa la figura de la</w:t>
      </w:r>
      <w:r w:rsidRPr="00245EF8">
        <w:rPr>
          <w:color w:val="000000"/>
          <w:sz w:val="26"/>
          <w:szCs w:val="26"/>
        </w:rPr>
        <w:t xml:space="preserve"> </w:t>
      </w:r>
      <w:r w:rsidRPr="00245EF8">
        <w:rPr>
          <w:i/>
          <w:color w:val="000000"/>
          <w:sz w:val="26"/>
          <w:szCs w:val="26"/>
        </w:rPr>
        <w:t>caducidad</w:t>
      </w:r>
      <w:r w:rsidRPr="00245EF8">
        <w:rPr>
          <w:rStyle w:val="apple-converted-space"/>
          <w:i/>
          <w:iCs/>
          <w:color w:val="000000"/>
          <w:sz w:val="26"/>
          <w:szCs w:val="26"/>
        </w:rPr>
        <w:t> </w:t>
      </w:r>
      <w:r w:rsidRPr="00245EF8">
        <w:rPr>
          <w:i/>
          <w:iCs/>
          <w:color w:val="000000"/>
          <w:sz w:val="26"/>
          <w:szCs w:val="26"/>
        </w:rPr>
        <w:t xml:space="preserve">del procedimiento. Es claro que en el supuesto de hecho concreto de plazo para poder publicar la sanción para </w:t>
      </w:r>
      <w:r w:rsidRPr="00245EF8">
        <w:rPr>
          <w:i/>
          <w:iCs/>
          <w:color w:val="000000"/>
          <w:sz w:val="26"/>
          <w:szCs w:val="26"/>
        </w:rPr>
        <w:lastRenderedPageBreak/>
        <w:t xml:space="preserve">que produzca efectos, no se trata de una </w:t>
      </w:r>
      <w:r w:rsidRPr="00245EF8">
        <w:rPr>
          <w:i/>
          <w:color w:val="000000"/>
          <w:sz w:val="26"/>
          <w:szCs w:val="26"/>
        </w:rPr>
        <w:t>caducidad</w:t>
      </w:r>
      <w:r w:rsidRPr="00245EF8">
        <w:rPr>
          <w:rStyle w:val="apple-converted-space"/>
          <w:i/>
          <w:iCs/>
          <w:color w:val="000000"/>
          <w:sz w:val="26"/>
          <w:szCs w:val="26"/>
        </w:rPr>
        <w:t> </w:t>
      </w:r>
      <w:r w:rsidRPr="00245EF8">
        <w:rPr>
          <w:i/>
          <w:iCs/>
          <w:color w:val="000000"/>
          <w:sz w:val="26"/>
          <w:szCs w:val="26"/>
        </w:rPr>
        <w:t>del procedimiento, pues éste ya ha terminado por acto final y en estado de firmeza. No obstante, cuando la sanción firme no se publica dentro del plazo de seis meses, se incurre en similar grado de inercia, de omisión, de suerte que la consecuencia jurídica de esta desidia o descuido del ente público, lleva al fenecimiento por decurso del tiempo del ejercicio de la potestad. Así las cosas, se reitera el criterio de este Tribunal en cuanto a que con independencia de que el numeral 79 del Código de Deberes Morales, Jurídicos y Éticos del Colegio no establezca un plazo para publicar la sanción, de modo que ésta pueda surtir efectos, por integración analógica, el plazo de</w:t>
      </w:r>
      <w:r w:rsidRPr="00245EF8">
        <w:rPr>
          <w:color w:val="000000"/>
          <w:sz w:val="26"/>
          <w:szCs w:val="26"/>
        </w:rPr>
        <w:t xml:space="preserve"> </w:t>
      </w:r>
      <w:r w:rsidRPr="00245EF8">
        <w:rPr>
          <w:i/>
          <w:color w:val="000000"/>
          <w:sz w:val="26"/>
          <w:szCs w:val="26"/>
        </w:rPr>
        <w:t>caducidad</w:t>
      </w:r>
      <w:r w:rsidRPr="00245EF8">
        <w:rPr>
          <w:rStyle w:val="apple-converted-space"/>
          <w:i/>
          <w:iCs/>
          <w:color w:val="000000"/>
          <w:sz w:val="26"/>
          <w:szCs w:val="26"/>
        </w:rPr>
        <w:t> </w:t>
      </w:r>
      <w:r w:rsidRPr="00245EF8">
        <w:rPr>
          <w:i/>
          <w:iCs/>
          <w:color w:val="000000"/>
          <w:sz w:val="26"/>
          <w:szCs w:val="26"/>
        </w:rPr>
        <w:t>aplicables sería el de seis meses regulado por el canon 340 de</w:t>
      </w:r>
      <w:r w:rsidRPr="00245EF8">
        <w:rPr>
          <w:rStyle w:val="apple-converted-space"/>
          <w:i/>
          <w:iCs/>
          <w:color w:val="000000"/>
          <w:sz w:val="26"/>
          <w:szCs w:val="26"/>
        </w:rPr>
        <w:t> </w:t>
      </w:r>
      <w:r w:rsidRPr="00245EF8">
        <w:rPr>
          <w:i/>
          <w:iCs/>
          <w:color w:val="000000"/>
          <w:sz w:val="26"/>
          <w:szCs w:val="26"/>
        </w:rPr>
        <w:t>la Ley No.</w:t>
      </w:r>
      <w:r w:rsidRPr="00245EF8">
        <w:rPr>
          <w:rStyle w:val="apple-converted-space"/>
          <w:i/>
          <w:iCs/>
          <w:color w:val="000000"/>
          <w:sz w:val="26"/>
          <w:szCs w:val="26"/>
        </w:rPr>
        <w:t> </w:t>
      </w:r>
      <w:r w:rsidRPr="00245EF8">
        <w:rPr>
          <w:i/>
          <w:iCs/>
          <w:color w:val="000000"/>
          <w:sz w:val="26"/>
          <w:szCs w:val="26"/>
        </w:rPr>
        <w:t>6227/78, el que computaría a partir de la firmeza del acto a publicar."</w:t>
      </w:r>
    </w:p>
    <w:p w:rsidR="00EA783D" w:rsidRPr="00245EF8" w:rsidRDefault="00EA783D" w:rsidP="00EA783D">
      <w:pPr>
        <w:spacing w:line="240" w:lineRule="auto"/>
        <w:ind w:left="567" w:right="616"/>
        <w:jc w:val="both"/>
        <w:rPr>
          <w:rFonts w:ascii="Times New Roman" w:hAnsi="Times New Roman"/>
          <w:b/>
          <w:color w:val="000000"/>
          <w:sz w:val="26"/>
          <w:szCs w:val="26"/>
        </w:rPr>
      </w:pPr>
      <w:r w:rsidRPr="00245EF8">
        <w:rPr>
          <w:rFonts w:ascii="Times New Roman" w:hAnsi="Times New Roman"/>
          <w:b/>
          <w:color w:val="000000"/>
          <w:sz w:val="26"/>
          <w:szCs w:val="26"/>
        </w:rPr>
        <w:t>Así, se consideró que el plazo de seis meses dispuesto para la</w:t>
      </w:r>
      <w:r w:rsidRPr="00245EF8">
        <w:rPr>
          <w:rStyle w:val="apple-converted-space"/>
          <w:rFonts w:ascii="Times New Roman" w:hAnsi="Times New Roman"/>
          <w:b/>
          <w:color w:val="000000"/>
          <w:sz w:val="26"/>
          <w:szCs w:val="26"/>
        </w:rPr>
        <w:t> </w:t>
      </w:r>
      <w:r w:rsidRPr="00245EF8">
        <w:rPr>
          <w:rFonts w:ascii="Times New Roman" w:hAnsi="Times New Roman"/>
          <w:b/>
          <w:color w:val="000000"/>
          <w:sz w:val="26"/>
          <w:szCs w:val="26"/>
        </w:rPr>
        <w:t>caducidad del procedimiento</w:t>
      </w:r>
      <w:r w:rsidRPr="00245EF8">
        <w:rPr>
          <w:rStyle w:val="apple-converted-space"/>
          <w:rFonts w:ascii="Times New Roman" w:hAnsi="Times New Roman"/>
          <w:b/>
          <w:color w:val="000000"/>
          <w:sz w:val="26"/>
          <w:szCs w:val="26"/>
        </w:rPr>
        <w:t> </w:t>
      </w:r>
      <w:r w:rsidRPr="00245EF8">
        <w:rPr>
          <w:rFonts w:ascii="Times New Roman" w:hAnsi="Times New Roman"/>
          <w:b/>
          <w:color w:val="000000"/>
          <w:sz w:val="26"/>
          <w:szCs w:val="26"/>
        </w:rPr>
        <w:t>era el más acorde. Coincide este Órgano Decisor con el criterio de los jueces de la instancia precedente. Si bien es cierto, como apunta el casacionista, el supuesto regulado en el canon 340 inciso 1) de</w:t>
      </w:r>
      <w:r w:rsidRPr="00245EF8">
        <w:rPr>
          <w:rStyle w:val="apple-converted-space"/>
          <w:rFonts w:ascii="Times New Roman" w:hAnsi="Times New Roman"/>
          <w:b/>
          <w:color w:val="000000"/>
          <w:sz w:val="26"/>
          <w:szCs w:val="26"/>
        </w:rPr>
        <w:t> </w:t>
      </w:r>
      <w:r w:rsidRPr="00245EF8">
        <w:rPr>
          <w:rFonts w:ascii="Times New Roman" w:hAnsi="Times New Roman"/>
          <w:b/>
          <w:color w:val="000000"/>
          <w:sz w:val="26"/>
          <w:szCs w:val="26"/>
        </w:rPr>
        <w:t>la LGAP</w:t>
      </w:r>
      <w:r w:rsidRPr="00245EF8">
        <w:rPr>
          <w:rStyle w:val="apple-converted-space"/>
          <w:rFonts w:ascii="Times New Roman" w:hAnsi="Times New Roman"/>
          <w:b/>
          <w:color w:val="000000"/>
          <w:sz w:val="26"/>
          <w:szCs w:val="26"/>
        </w:rPr>
        <w:t> </w:t>
      </w:r>
      <w:r w:rsidRPr="00245EF8">
        <w:rPr>
          <w:rFonts w:ascii="Times New Roman" w:hAnsi="Times New Roman"/>
          <w:b/>
          <w:color w:val="000000"/>
          <w:sz w:val="26"/>
          <w:szCs w:val="26"/>
        </w:rPr>
        <w:t>se circunscribe a la inercia en la tramitación del</w:t>
      </w:r>
      <w:r w:rsidRPr="00245EF8">
        <w:rPr>
          <w:rStyle w:val="apple-converted-space"/>
          <w:rFonts w:ascii="Times New Roman" w:hAnsi="Times New Roman"/>
          <w:b/>
          <w:color w:val="000000"/>
          <w:sz w:val="26"/>
          <w:szCs w:val="26"/>
        </w:rPr>
        <w:t> procedimiento administrativo</w:t>
      </w:r>
      <w:r w:rsidRPr="00245EF8">
        <w:rPr>
          <w:rFonts w:ascii="Times New Roman" w:hAnsi="Times New Roman"/>
          <w:b/>
          <w:color w:val="000000"/>
          <w:sz w:val="26"/>
          <w:szCs w:val="26"/>
        </w:rPr>
        <w:t>, en procura de evitar una dilación indebida en el curso de las distintas etapas de instrucción hasta la adopción del acto final (excluyéndose, por tanto, su aplicación a la fase de ejecución), el plazo de seis meses resulta adecuado para solventar el vacío normativo.</w:t>
      </w:r>
      <w:r w:rsidRPr="00245EF8">
        <w:rPr>
          <w:rFonts w:ascii="Times New Roman" w:hAnsi="Times New Roman"/>
          <w:color w:val="000000"/>
          <w:sz w:val="26"/>
          <w:szCs w:val="26"/>
        </w:rPr>
        <w:t xml:space="preserve"> Como se indicó anteriormente, no existe una norma expresa que regule un plazo de caducidad, a efectos de que</w:t>
      </w:r>
      <w:r w:rsidRPr="00245EF8">
        <w:rPr>
          <w:rStyle w:val="apple-converted-space"/>
          <w:rFonts w:ascii="Times New Roman" w:hAnsi="Times New Roman"/>
          <w:color w:val="000000"/>
          <w:sz w:val="26"/>
          <w:szCs w:val="26"/>
        </w:rPr>
        <w:t> </w:t>
      </w:r>
      <w:r w:rsidRPr="00245EF8">
        <w:rPr>
          <w:rFonts w:ascii="Times New Roman" w:hAnsi="Times New Roman"/>
          <w:color w:val="000000"/>
          <w:sz w:val="26"/>
          <w:szCs w:val="26"/>
        </w:rPr>
        <w:t>la Administración</w:t>
      </w:r>
      <w:r w:rsidRPr="00245EF8">
        <w:rPr>
          <w:rStyle w:val="apple-converted-space"/>
          <w:rFonts w:ascii="Times New Roman" w:hAnsi="Times New Roman"/>
          <w:color w:val="000000"/>
          <w:sz w:val="26"/>
          <w:szCs w:val="26"/>
        </w:rPr>
        <w:t> </w:t>
      </w:r>
      <w:r w:rsidRPr="00245EF8">
        <w:rPr>
          <w:rFonts w:ascii="Times New Roman" w:hAnsi="Times New Roman"/>
          <w:color w:val="000000"/>
          <w:sz w:val="26"/>
          <w:szCs w:val="26"/>
        </w:rPr>
        <w:t>ejecute una sanción que se encuentra firme, ante tal ausencia se debe recurrir a los principios o reglas generales que se logren extraer del ordenamiento jurídico, conforme lo permite el numeral 7 de</w:t>
      </w:r>
      <w:r w:rsidRPr="00245EF8">
        <w:rPr>
          <w:rStyle w:val="apple-converted-space"/>
          <w:rFonts w:ascii="Times New Roman" w:hAnsi="Times New Roman"/>
          <w:color w:val="000000"/>
          <w:sz w:val="26"/>
          <w:szCs w:val="26"/>
        </w:rPr>
        <w:t> </w:t>
      </w:r>
      <w:r w:rsidRPr="00245EF8">
        <w:rPr>
          <w:rFonts w:ascii="Times New Roman" w:hAnsi="Times New Roman"/>
          <w:color w:val="000000"/>
          <w:sz w:val="26"/>
          <w:szCs w:val="26"/>
        </w:rPr>
        <w:t>la LGAP. La</w:t>
      </w:r>
      <w:r w:rsidRPr="00245EF8">
        <w:rPr>
          <w:rStyle w:val="apple-converted-space"/>
          <w:rFonts w:ascii="Times New Roman" w:hAnsi="Times New Roman"/>
          <w:color w:val="000000"/>
          <w:sz w:val="26"/>
          <w:szCs w:val="26"/>
        </w:rPr>
        <w:t> </w:t>
      </w:r>
      <w:r w:rsidRPr="00245EF8">
        <w:rPr>
          <w:rFonts w:ascii="Times New Roman" w:hAnsi="Times New Roman"/>
          <w:color w:val="000000"/>
          <w:sz w:val="26"/>
          <w:szCs w:val="26"/>
        </w:rPr>
        <w:t xml:space="preserve">normativa administrativa, tanto de fondo como procesal, incluye una variedad de plazos para regular inactividades (v.gr. dos meses para el silencio positivo, un mes para el silencio negativo, solo por dar dos muestras), empero, se puede identificar una tradición jurídico normativa que establece un plazo de seis meses. </w:t>
      </w:r>
      <w:r w:rsidRPr="00245EF8">
        <w:rPr>
          <w:rFonts w:ascii="Times New Roman" w:hAnsi="Times New Roman"/>
          <w:b/>
          <w:color w:val="000000"/>
          <w:sz w:val="26"/>
          <w:szCs w:val="26"/>
        </w:rPr>
        <w:t>En este sentido, se puede mencionar no solo la caducidad</w:t>
      </w:r>
      <w:r w:rsidRPr="00245EF8">
        <w:rPr>
          <w:rStyle w:val="apple-converted-space"/>
          <w:rFonts w:ascii="Times New Roman" w:hAnsi="Times New Roman"/>
          <w:b/>
          <w:color w:val="000000"/>
          <w:sz w:val="26"/>
          <w:szCs w:val="26"/>
        </w:rPr>
        <w:t> </w:t>
      </w:r>
      <w:r w:rsidRPr="00245EF8">
        <w:rPr>
          <w:rFonts w:ascii="Times New Roman" w:hAnsi="Times New Roman"/>
          <w:b/>
          <w:color w:val="000000"/>
          <w:sz w:val="26"/>
          <w:szCs w:val="26"/>
        </w:rPr>
        <w:t>del</w:t>
      </w:r>
      <w:r w:rsidRPr="00245EF8">
        <w:rPr>
          <w:rStyle w:val="apple-converted-space"/>
          <w:rFonts w:ascii="Times New Roman" w:hAnsi="Times New Roman"/>
          <w:b/>
          <w:color w:val="000000"/>
          <w:sz w:val="26"/>
          <w:szCs w:val="26"/>
        </w:rPr>
        <w:t> procedimiento </w:t>
      </w:r>
      <w:r w:rsidRPr="00245EF8">
        <w:rPr>
          <w:rFonts w:ascii="Times New Roman" w:hAnsi="Times New Roman"/>
          <w:b/>
          <w:color w:val="000000"/>
          <w:sz w:val="26"/>
          <w:szCs w:val="26"/>
        </w:rPr>
        <w:t>a que hace referencia el Tribunal (340 LGAP), sino también, la anterior Ley Reguladora de</w:t>
      </w:r>
      <w:r w:rsidRPr="00245EF8">
        <w:rPr>
          <w:rStyle w:val="apple-converted-space"/>
          <w:rFonts w:ascii="Times New Roman" w:hAnsi="Times New Roman"/>
          <w:b/>
          <w:color w:val="000000"/>
          <w:sz w:val="26"/>
          <w:szCs w:val="26"/>
        </w:rPr>
        <w:t> </w:t>
      </w:r>
      <w:r w:rsidRPr="00245EF8">
        <w:rPr>
          <w:rFonts w:ascii="Times New Roman" w:hAnsi="Times New Roman"/>
          <w:b/>
          <w:color w:val="000000"/>
          <w:sz w:val="26"/>
          <w:szCs w:val="26"/>
        </w:rPr>
        <w:t>la Jurisdicción Contencioso</w:t>
      </w:r>
      <w:r w:rsidRPr="00245EF8">
        <w:rPr>
          <w:rStyle w:val="apple-converted-space"/>
          <w:rFonts w:ascii="Times New Roman" w:hAnsi="Times New Roman"/>
          <w:b/>
          <w:color w:val="000000"/>
          <w:sz w:val="26"/>
          <w:szCs w:val="26"/>
        </w:rPr>
        <w:t> </w:t>
      </w:r>
      <w:r w:rsidRPr="00245EF8">
        <w:rPr>
          <w:rFonts w:ascii="Times New Roman" w:hAnsi="Times New Roman"/>
          <w:b/>
          <w:color w:val="000000"/>
          <w:sz w:val="26"/>
          <w:szCs w:val="26"/>
        </w:rPr>
        <w:t>Administrativa fijaba la caducidad</w:t>
      </w:r>
      <w:r w:rsidRPr="00245EF8">
        <w:rPr>
          <w:rStyle w:val="apple-converted-space"/>
          <w:rFonts w:ascii="Times New Roman" w:hAnsi="Times New Roman"/>
          <w:b/>
          <w:color w:val="000000"/>
          <w:sz w:val="26"/>
          <w:szCs w:val="26"/>
        </w:rPr>
        <w:t> </w:t>
      </w:r>
      <w:r w:rsidRPr="00245EF8">
        <w:rPr>
          <w:rFonts w:ascii="Times New Roman" w:hAnsi="Times New Roman"/>
          <w:b/>
          <w:color w:val="000000"/>
          <w:sz w:val="26"/>
          <w:szCs w:val="26"/>
        </w:rPr>
        <w:t>del proceso en dicho término. Así, se puede extraer como principio, y sin perjuicio de norma expresa que regule algún caso especial, que la tolerancia máxima de inactividad que se ha admitido es, precisamente, de seis meses. De manera que, recurriendo a esta regla general se puede suplir el vacío normativo que se echa de menos en el sub examine.</w:t>
      </w:r>
      <w:r w:rsidRPr="00245EF8">
        <w:rPr>
          <w:rFonts w:ascii="Times New Roman" w:hAnsi="Times New Roman"/>
          <w:color w:val="000000"/>
          <w:sz w:val="26"/>
          <w:szCs w:val="26"/>
        </w:rPr>
        <w:t xml:space="preserve"> En aplicación de lo expuesto, y siendo que el término utilizado por los juzgadores coincide con el definido por esta Cámara, no </w:t>
      </w:r>
      <w:r w:rsidRPr="00245EF8">
        <w:rPr>
          <w:rFonts w:ascii="Times New Roman" w:hAnsi="Times New Roman"/>
          <w:color w:val="000000"/>
          <w:sz w:val="26"/>
          <w:szCs w:val="26"/>
        </w:rPr>
        <w:lastRenderedPageBreak/>
        <w:t xml:space="preserve">existe, en consecuencia, motivo para casar la sentencia, razón por la cual, el agravio que en ese sentido se formula deberá ser rechazado.” </w:t>
      </w:r>
      <w:r w:rsidRPr="00245EF8">
        <w:rPr>
          <w:rFonts w:ascii="Times New Roman" w:hAnsi="Times New Roman"/>
          <w:b/>
          <w:color w:val="000000"/>
          <w:sz w:val="26"/>
          <w:szCs w:val="26"/>
        </w:rPr>
        <w:t>(el resaltado es nuestro)</w:t>
      </w:r>
    </w:p>
    <w:p w:rsidR="00EA783D" w:rsidRPr="00245EF8" w:rsidRDefault="00EA783D" w:rsidP="00EA783D">
      <w:pPr>
        <w:spacing w:line="240" w:lineRule="auto"/>
        <w:jc w:val="both"/>
        <w:rPr>
          <w:rFonts w:ascii="Times New Roman" w:hAnsi="Times New Roman"/>
          <w:sz w:val="26"/>
          <w:szCs w:val="26"/>
        </w:rPr>
      </w:pPr>
    </w:p>
    <w:p w:rsidR="00EA783D" w:rsidRPr="00245EF8" w:rsidRDefault="00EA783D" w:rsidP="00EA783D">
      <w:pPr>
        <w:spacing w:line="240" w:lineRule="auto"/>
        <w:jc w:val="both"/>
        <w:rPr>
          <w:rFonts w:ascii="Times New Roman" w:hAnsi="Times New Roman"/>
          <w:sz w:val="26"/>
          <w:szCs w:val="26"/>
        </w:rPr>
      </w:pPr>
      <w:r w:rsidRPr="00245EF8">
        <w:rPr>
          <w:rFonts w:ascii="Times New Roman" w:hAnsi="Times New Roman"/>
          <w:sz w:val="26"/>
          <w:szCs w:val="26"/>
        </w:rPr>
        <w:t xml:space="preserve">Así las cosas, se determina que en cuanto a lo exclusivamente analizado en este Caso, a saber, la Caducidad No Ejecutada realmente del Derecho de Concesión de Taxi Placas </w:t>
      </w:r>
      <w:r w:rsidR="002330B3">
        <w:rPr>
          <w:rFonts w:ascii="Times New Roman" w:hAnsi="Times New Roman"/>
          <w:sz w:val="26"/>
          <w:szCs w:val="26"/>
        </w:rPr>
        <w:t>….</w:t>
      </w:r>
      <w:r w:rsidRPr="00245EF8">
        <w:rPr>
          <w:rFonts w:ascii="Times New Roman" w:hAnsi="Times New Roman"/>
          <w:sz w:val="26"/>
          <w:szCs w:val="26"/>
        </w:rPr>
        <w:t xml:space="preserve">, conforme lo particularmente determinado desde el año 2010, mediante al Acuerdo No. 6.32 de la Sesión Extraordinaria No. 01-2010 de la Junta Directiva del Consejo de Transporte Público, procede la Gestión de No Posible Ejecución Actual que realiza el Señor </w:t>
      </w:r>
      <w:r w:rsidR="002330B3">
        <w:rPr>
          <w:rFonts w:ascii="Times New Roman" w:hAnsi="Times New Roman"/>
          <w:sz w:val="26"/>
          <w:szCs w:val="26"/>
        </w:rPr>
        <w:t>EE</w:t>
      </w:r>
      <w:r w:rsidRPr="00245EF8">
        <w:rPr>
          <w:rFonts w:ascii="Times New Roman" w:hAnsi="Times New Roman"/>
          <w:sz w:val="26"/>
          <w:szCs w:val="26"/>
        </w:rPr>
        <w:t>, con sus especiales y específicas consecuencias legales. Debiendo acogerse la Acción que él mismo establece. Dejándose en claro que lo que se determina por este medio vale única y exclusivamente en cuanto al asunto de específica valoración y no se hace extensiva a otras situaciones de posible caducidad, cancelación y/o fenecimiento de la Concesión aludida.</w:t>
      </w:r>
    </w:p>
    <w:p w:rsidR="00EA783D" w:rsidRPr="00245EF8" w:rsidRDefault="00EA783D" w:rsidP="00EA783D">
      <w:pPr>
        <w:pStyle w:val="Sinespaciado"/>
        <w:rPr>
          <w:rFonts w:ascii="Times New Roman" w:hAnsi="Times New Roman" w:cs="Times New Roman"/>
          <w:sz w:val="26"/>
          <w:szCs w:val="26"/>
        </w:rPr>
      </w:pPr>
    </w:p>
    <w:p w:rsidR="00EA783D" w:rsidRDefault="00EA783D" w:rsidP="00EA783D">
      <w:pPr>
        <w:spacing w:line="240" w:lineRule="auto"/>
        <w:jc w:val="center"/>
        <w:rPr>
          <w:rFonts w:ascii="Times New Roman" w:hAnsi="Times New Roman"/>
          <w:b/>
          <w:i/>
          <w:sz w:val="26"/>
          <w:szCs w:val="26"/>
        </w:rPr>
      </w:pPr>
      <w:r w:rsidRPr="00245EF8">
        <w:rPr>
          <w:rFonts w:ascii="Times New Roman" w:hAnsi="Times New Roman"/>
          <w:b/>
          <w:i/>
          <w:sz w:val="26"/>
          <w:szCs w:val="26"/>
        </w:rPr>
        <w:t>Por Tanto</w:t>
      </w:r>
    </w:p>
    <w:p w:rsidR="00EA783D" w:rsidRPr="00810FDB" w:rsidRDefault="00EA783D" w:rsidP="00EA783D">
      <w:pPr>
        <w:pStyle w:val="Sinespaciado"/>
      </w:pPr>
    </w:p>
    <w:p w:rsidR="00EA783D" w:rsidRDefault="00EA783D" w:rsidP="00EA783D">
      <w:pPr>
        <w:spacing w:line="240" w:lineRule="auto"/>
        <w:jc w:val="both"/>
        <w:rPr>
          <w:rFonts w:ascii="Times New Roman" w:hAnsi="Times New Roman"/>
          <w:sz w:val="26"/>
          <w:szCs w:val="26"/>
          <w:lang w:val="es-ES"/>
        </w:rPr>
      </w:pPr>
      <w:r w:rsidRPr="00245EF8">
        <w:rPr>
          <w:rFonts w:ascii="Times New Roman" w:hAnsi="Times New Roman"/>
          <w:b/>
          <w:sz w:val="26"/>
          <w:szCs w:val="26"/>
        </w:rPr>
        <w:t>I.</w:t>
      </w:r>
      <w:r w:rsidRPr="00245EF8">
        <w:rPr>
          <w:rFonts w:ascii="Times New Roman" w:hAnsi="Times New Roman"/>
          <w:sz w:val="26"/>
          <w:szCs w:val="26"/>
        </w:rPr>
        <w:t xml:space="preserve"> </w:t>
      </w:r>
      <w:r w:rsidRPr="00245EF8">
        <w:rPr>
          <w:rFonts w:ascii="Times New Roman" w:hAnsi="Times New Roman"/>
          <w:sz w:val="26"/>
          <w:szCs w:val="26"/>
        </w:rPr>
        <w:tab/>
        <w:t xml:space="preserve">Se declaran </w:t>
      </w:r>
      <w:r w:rsidRPr="00E03053">
        <w:rPr>
          <w:rFonts w:ascii="Times New Roman" w:hAnsi="Times New Roman"/>
          <w:b/>
          <w:i/>
          <w:sz w:val="26"/>
          <w:szCs w:val="26"/>
          <w:u w:val="single"/>
        </w:rPr>
        <w:t>CON LUGAR</w:t>
      </w:r>
      <w:r w:rsidRPr="00245EF8">
        <w:rPr>
          <w:rFonts w:ascii="Times New Roman" w:hAnsi="Times New Roman"/>
          <w:sz w:val="26"/>
          <w:szCs w:val="26"/>
        </w:rPr>
        <w:t xml:space="preserve"> el </w:t>
      </w:r>
      <w:r w:rsidRPr="00245EF8">
        <w:rPr>
          <w:rFonts w:ascii="Times New Roman" w:hAnsi="Times New Roman"/>
          <w:b/>
          <w:sz w:val="26"/>
          <w:szCs w:val="26"/>
          <w:lang w:val="es-ES"/>
        </w:rPr>
        <w:t xml:space="preserve">RECURSO DE APELACIÓN EN SUBSIDIO </w:t>
      </w:r>
      <w:r w:rsidRPr="00245EF8">
        <w:rPr>
          <w:rFonts w:ascii="Times New Roman" w:hAnsi="Times New Roman"/>
          <w:sz w:val="26"/>
          <w:szCs w:val="26"/>
          <w:lang w:val="es-ES"/>
        </w:rPr>
        <w:t>y la</w:t>
      </w:r>
      <w:r w:rsidRPr="00245EF8">
        <w:rPr>
          <w:rFonts w:ascii="Times New Roman" w:hAnsi="Times New Roman"/>
          <w:b/>
          <w:sz w:val="26"/>
          <w:szCs w:val="26"/>
          <w:lang w:val="es-ES"/>
        </w:rPr>
        <w:t xml:space="preserve"> GESTIÓN DE NO POSIBLE EJECUCIÓN (CADUCIDAD DE LA EJECUCIÓN)</w:t>
      </w:r>
      <w:r w:rsidRPr="00245EF8">
        <w:rPr>
          <w:rFonts w:ascii="Times New Roman" w:hAnsi="Times New Roman"/>
          <w:sz w:val="26"/>
          <w:szCs w:val="26"/>
          <w:lang w:val="es-ES"/>
        </w:rPr>
        <w:t xml:space="preserve">, presentados por el señor </w:t>
      </w:r>
      <w:r w:rsidR="002330B3">
        <w:rPr>
          <w:rFonts w:ascii="Times New Roman" w:hAnsi="Times New Roman"/>
          <w:b/>
          <w:i/>
          <w:sz w:val="26"/>
          <w:szCs w:val="26"/>
          <w:lang w:val="es-ES"/>
        </w:rPr>
        <w:t>JDEE</w:t>
      </w:r>
      <w:r w:rsidRPr="00245EF8">
        <w:rPr>
          <w:rFonts w:ascii="Times New Roman" w:hAnsi="Times New Roman"/>
          <w:sz w:val="26"/>
          <w:szCs w:val="26"/>
          <w:lang w:val="es-ES"/>
        </w:rPr>
        <w:t xml:space="preserve">, de calidades conocidas, portador de la cédula de identidad número </w:t>
      </w:r>
      <w:r w:rsidR="002330B3">
        <w:rPr>
          <w:rFonts w:ascii="Times New Roman" w:hAnsi="Times New Roman"/>
          <w:sz w:val="26"/>
          <w:szCs w:val="26"/>
          <w:lang w:val="es-ES"/>
        </w:rPr>
        <w:t>….</w:t>
      </w:r>
      <w:r w:rsidRPr="00245EF8">
        <w:rPr>
          <w:rFonts w:ascii="Times New Roman" w:hAnsi="Times New Roman"/>
          <w:sz w:val="26"/>
          <w:szCs w:val="26"/>
          <w:lang w:val="es-ES"/>
        </w:rPr>
        <w:t>, en contra y en cuanto al Acuerdo No. 6.32 de la Sesión Extraordinaria No. 01-2010 de la Junta Directiva del Consejo de Transporte Público, del 25 de Enero del 2010.</w:t>
      </w:r>
    </w:p>
    <w:p w:rsidR="00EA783D" w:rsidRDefault="00EA783D" w:rsidP="00EA783D">
      <w:pPr>
        <w:pStyle w:val="Sinespaciado"/>
        <w:rPr>
          <w:lang w:val="es-ES"/>
        </w:rPr>
      </w:pPr>
    </w:p>
    <w:p w:rsidR="00EA783D" w:rsidRDefault="00EA783D" w:rsidP="00EA783D">
      <w:pPr>
        <w:pStyle w:val="Sinespaciado"/>
        <w:rPr>
          <w:lang w:val="es-ES"/>
        </w:rPr>
      </w:pPr>
    </w:p>
    <w:p w:rsidR="00EA783D" w:rsidRPr="00245EF8" w:rsidRDefault="00EA783D" w:rsidP="00EA783D">
      <w:pPr>
        <w:pStyle w:val="Sinespaciado"/>
        <w:rPr>
          <w:lang w:val="es-ES"/>
        </w:rPr>
      </w:pPr>
    </w:p>
    <w:p w:rsidR="00EA783D" w:rsidRPr="00245EF8" w:rsidRDefault="00EA783D" w:rsidP="00EA783D">
      <w:pPr>
        <w:pStyle w:val="Sinespaciado"/>
        <w:jc w:val="both"/>
        <w:rPr>
          <w:rFonts w:ascii="Times New Roman" w:hAnsi="Times New Roman" w:cs="Times New Roman"/>
          <w:sz w:val="26"/>
          <w:szCs w:val="26"/>
        </w:rPr>
      </w:pPr>
      <w:r w:rsidRPr="00245EF8">
        <w:rPr>
          <w:rFonts w:ascii="Times New Roman" w:hAnsi="Times New Roman" w:cs="Times New Roman"/>
          <w:b/>
          <w:sz w:val="26"/>
          <w:szCs w:val="26"/>
        </w:rPr>
        <w:t>II</w:t>
      </w:r>
      <w:r w:rsidRPr="00245EF8">
        <w:rPr>
          <w:rFonts w:ascii="Times New Roman" w:hAnsi="Times New Roman" w:cs="Times New Roman"/>
          <w:sz w:val="26"/>
          <w:szCs w:val="26"/>
        </w:rPr>
        <w:t>.-</w:t>
      </w:r>
      <w:r w:rsidRPr="00245EF8">
        <w:rPr>
          <w:rFonts w:ascii="Times New Roman" w:hAnsi="Times New Roman" w:cs="Times New Roman"/>
          <w:sz w:val="26"/>
          <w:szCs w:val="26"/>
        </w:rPr>
        <w:tab/>
        <w:t>Conforme las disposiciones del Artículo No. 16 de la Ley No. 7969 se recuerda que los fallos de este Tribunal son de acatamiento inmediato, estricto y obligatorio.</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pStyle w:val="Sinespaciado"/>
        <w:jc w:val="both"/>
        <w:rPr>
          <w:rFonts w:ascii="Times New Roman" w:hAnsi="Times New Roman" w:cs="Times New Roman"/>
          <w:sz w:val="26"/>
          <w:szCs w:val="26"/>
        </w:rPr>
      </w:pPr>
      <w:r w:rsidRPr="00245EF8">
        <w:rPr>
          <w:rFonts w:ascii="Times New Roman" w:hAnsi="Times New Roman" w:cs="Times New Roman"/>
          <w:b/>
          <w:sz w:val="26"/>
          <w:szCs w:val="26"/>
        </w:rPr>
        <w:t>III.-</w:t>
      </w:r>
      <w:r w:rsidRPr="00245EF8">
        <w:rPr>
          <w:rFonts w:ascii="Times New Roman" w:hAnsi="Times New Roman" w:cs="Times New Roman"/>
          <w:b/>
          <w:sz w:val="26"/>
          <w:szCs w:val="26"/>
        </w:rPr>
        <w:tab/>
      </w:r>
      <w:r w:rsidRPr="00245EF8">
        <w:rPr>
          <w:rFonts w:ascii="Times New Roman" w:hAnsi="Times New Roman" w:cs="Times New Roman"/>
          <w:sz w:val="26"/>
          <w:szCs w:val="26"/>
        </w:rPr>
        <w:t xml:space="preserve">Por carecer la presente resolución de ulterior recurso en sede administrativa, de conformidad con los artículos 16 y 22, inciso c), de la Ley 7969, </w:t>
      </w:r>
      <w:r w:rsidRPr="00245EF8">
        <w:rPr>
          <w:rFonts w:ascii="Times New Roman" w:hAnsi="Times New Roman" w:cs="Times New Roman"/>
          <w:i/>
          <w:sz w:val="26"/>
          <w:szCs w:val="26"/>
        </w:rPr>
        <w:t>se da por agotada la vía administrativa</w:t>
      </w:r>
      <w:r w:rsidRPr="00245EF8">
        <w:rPr>
          <w:rFonts w:ascii="Times New Roman" w:hAnsi="Times New Roman" w:cs="Times New Roman"/>
          <w:sz w:val="26"/>
          <w:szCs w:val="26"/>
        </w:rPr>
        <w:t xml:space="preserve">.  </w:t>
      </w:r>
      <w:r w:rsidRPr="00245EF8">
        <w:rPr>
          <w:rFonts w:ascii="Times New Roman" w:hAnsi="Times New Roman" w:cs="Times New Roman"/>
          <w:b/>
          <w:sz w:val="26"/>
          <w:szCs w:val="26"/>
        </w:rPr>
        <w:t xml:space="preserve"> </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jc w:val="both"/>
        <w:rPr>
          <w:rFonts w:ascii="Times New Roman" w:hAnsi="Times New Roman"/>
          <w:b/>
          <w:sz w:val="26"/>
          <w:szCs w:val="26"/>
        </w:rPr>
      </w:pPr>
      <w:r w:rsidRPr="00245EF8">
        <w:rPr>
          <w:rFonts w:ascii="Times New Roman" w:hAnsi="Times New Roman"/>
          <w:b/>
          <w:sz w:val="26"/>
          <w:szCs w:val="26"/>
        </w:rPr>
        <w:t>NOTIFÍQUESE</w:t>
      </w:r>
    </w:p>
    <w:p w:rsidR="00EA783D" w:rsidRPr="00245EF8" w:rsidRDefault="00EA783D" w:rsidP="00EA783D">
      <w:pPr>
        <w:jc w:val="both"/>
        <w:rPr>
          <w:rFonts w:ascii="Times New Roman" w:hAnsi="Times New Roman"/>
          <w:b/>
          <w:sz w:val="26"/>
          <w:szCs w:val="26"/>
        </w:rPr>
      </w:pP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pStyle w:val="Ttulo1"/>
        <w:jc w:val="left"/>
        <w:rPr>
          <w:sz w:val="26"/>
          <w:szCs w:val="26"/>
        </w:rPr>
      </w:pPr>
    </w:p>
    <w:p w:rsidR="00EA783D" w:rsidRPr="00245EF8" w:rsidRDefault="00EA783D" w:rsidP="00EA783D">
      <w:pPr>
        <w:pStyle w:val="Ttulo1"/>
        <w:rPr>
          <w:sz w:val="26"/>
          <w:szCs w:val="26"/>
        </w:rPr>
      </w:pPr>
      <w:r w:rsidRPr="00245EF8">
        <w:rPr>
          <w:sz w:val="26"/>
          <w:szCs w:val="26"/>
        </w:rPr>
        <w:t>Lic. Carlos Miguel  Portuguez Méndez</w:t>
      </w:r>
    </w:p>
    <w:p w:rsidR="00EA783D" w:rsidRPr="00245EF8" w:rsidRDefault="00EA783D" w:rsidP="00EA783D">
      <w:pPr>
        <w:pStyle w:val="Ttulo1"/>
        <w:rPr>
          <w:b/>
          <w:sz w:val="26"/>
          <w:szCs w:val="26"/>
        </w:rPr>
      </w:pPr>
      <w:r w:rsidRPr="00245EF8">
        <w:rPr>
          <w:b/>
          <w:sz w:val="26"/>
          <w:szCs w:val="26"/>
        </w:rPr>
        <w:t>PRESIDENTE</w:t>
      </w:r>
    </w:p>
    <w:p w:rsidR="00EA783D" w:rsidRPr="00245EF8" w:rsidRDefault="00EA783D" w:rsidP="00EA783D">
      <w:pPr>
        <w:pStyle w:val="Sinespaciado"/>
        <w:rPr>
          <w:rFonts w:ascii="Times New Roman" w:hAnsi="Times New Roman" w:cs="Times New Roman"/>
          <w:sz w:val="26"/>
          <w:szCs w:val="26"/>
        </w:rPr>
      </w:pPr>
    </w:p>
    <w:p w:rsidR="00EA783D" w:rsidRPr="00245EF8" w:rsidRDefault="00EA783D" w:rsidP="00EA783D">
      <w:pPr>
        <w:pStyle w:val="Sinespaciado"/>
        <w:rPr>
          <w:rFonts w:ascii="Times New Roman" w:hAnsi="Times New Roman" w:cs="Times New Roman"/>
          <w:sz w:val="26"/>
          <w:szCs w:val="26"/>
        </w:rPr>
      </w:pPr>
    </w:p>
    <w:p w:rsidR="00EA783D" w:rsidRDefault="00EA783D" w:rsidP="00EA783D">
      <w:pPr>
        <w:pStyle w:val="Sinespaciado"/>
        <w:rPr>
          <w:lang w:val="es-ES_tradnl" w:eastAsia="es-MX"/>
        </w:rPr>
      </w:pPr>
    </w:p>
    <w:p w:rsidR="00EA783D" w:rsidRPr="00245EF8" w:rsidRDefault="00EA783D" w:rsidP="00EA783D">
      <w:pPr>
        <w:jc w:val="center"/>
        <w:rPr>
          <w:rFonts w:ascii="Times New Roman" w:hAnsi="Times New Roman"/>
          <w:sz w:val="26"/>
          <w:szCs w:val="26"/>
          <w:lang w:val="es-ES_tradnl" w:eastAsia="es-MX"/>
        </w:rPr>
      </w:pPr>
    </w:p>
    <w:p w:rsidR="00EA783D" w:rsidRPr="00245EF8" w:rsidRDefault="00EA783D" w:rsidP="00EA783D">
      <w:pPr>
        <w:pStyle w:val="Ttulo1"/>
        <w:rPr>
          <w:sz w:val="26"/>
          <w:szCs w:val="26"/>
        </w:rPr>
      </w:pPr>
      <w:r w:rsidRPr="00245EF8">
        <w:rPr>
          <w:sz w:val="26"/>
          <w:szCs w:val="26"/>
        </w:rPr>
        <w:t xml:space="preserve">Licda.  Marta Luz Pérez Peláez     </w:t>
      </w:r>
      <w:r w:rsidRPr="00245EF8">
        <w:rPr>
          <w:sz w:val="26"/>
          <w:szCs w:val="26"/>
        </w:rPr>
        <w:tab/>
      </w:r>
      <w:r w:rsidRPr="00245EF8">
        <w:rPr>
          <w:sz w:val="26"/>
          <w:szCs w:val="26"/>
        </w:rPr>
        <w:tab/>
        <w:t xml:space="preserve">  Lic. Mario Quesada Aguirre</w:t>
      </w:r>
    </w:p>
    <w:p w:rsidR="00EA783D" w:rsidRPr="00245EF8" w:rsidRDefault="00EA783D" w:rsidP="00EA783D">
      <w:pPr>
        <w:rPr>
          <w:rFonts w:ascii="Times New Roman" w:hAnsi="Times New Roman"/>
          <w:b/>
          <w:sz w:val="26"/>
          <w:szCs w:val="26"/>
        </w:rPr>
      </w:pPr>
      <w:r w:rsidRPr="00245EF8">
        <w:rPr>
          <w:rFonts w:ascii="Times New Roman" w:hAnsi="Times New Roman"/>
          <w:b/>
          <w:sz w:val="26"/>
          <w:szCs w:val="26"/>
        </w:rPr>
        <w:t xml:space="preserve">                        JUEZA </w:t>
      </w:r>
      <w:r w:rsidRPr="00245EF8">
        <w:rPr>
          <w:rFonts w:ascii="Times New Roman" w:hAnsi="Times New Roman"/>
          <w:b/>
          <w:sz w:val="26"/>
          <w:szCs w:val="26"/>
        </w:rPr>
        <w:tab/>
      </w:r>
      <w:r w:rsidRPr="00245EF8">
        <w:rPr>
          <w:rFonts w:ascii="Times New Roman" w:hAnsi="Times New Roman"/>
          <w:b/>
          <w:sz w:val="26"/>
          <w:szCs w:val="26"/>
        </w:rPr>
        <w:tab/>
      </w:r>
      <w:r w:rsidRPr="00245EF8">
        <w:rPr>
          <w:rFonts w:ascii="Times New Roman" w:hAnsi="Times New Roman"/>
          <w:b/>
          <w:sz w:val="26"/>
          <w:szCs w:val="26"/>
        </w:rPr>
        <w:tab/>
      </w:r>
      <w:r w:rsidRPr="00245EF8">
        <w:rPr>
          <w:rFonts w:ascii="Times New Roman" w:hAnsi="Times New Roman"/>
          <w:b/>
          <w:sz w:val="26"/>
          <w:szCs w:val="26"/>
        </w:rPr>
        <w:tab/>
      </w:r>
      <w:r w:rsidRPr="00245EF8">
        <w:rPr>
          <w:rFonts w:ascii="Times New Roman" w:hAnsi="Times New Roman"/>
          <w:b/>
          <w:sz w:val="26"/>
          <w:szCs w:val="26"/>
        </w:rPr>
        <w:tab/>
        <w:t xml:space="preserve">              JUEZ</w:t>
      </w:r>
    </w:p>
    <w:p w:rsidR="00EA783D" w:rsidRPr="00245EF8" w:rsidRDefault="00EA783D" w:rsidP="00EA783D">
      <w:pPr>
        <w:pStyle w:val="Sinespaciado"/>
        <w:spacing w:line="276" w:lineRule="auto"/>
        <w:jc w:val="center"/>
        <w:rPr>
          <w:rFonts w:ascii="Times New Roman" w:hAnsi="Times New Roman" w:cs="Times New Roman"/>
          <w:b/>
          <w:sz w:val="26"/>
          <w:szCs w:val="26"/>
          <w:u w:val="single"/>
          <w:lang w:val="es-MX"/>
        </w:rPr>
      </w:pPr>
    </w:p>
    <w:p w:rsidR="00EA783D" w:rsidRPr="00245EF8" w:rsidRDefault="00EA783D" w:rsidP="00EA783D">
      <w:pPr>
        <w:spacing w:line="240" w:lineRule="auto"/>
        <w:jc w:val="both"/>
        <w:rPr>
          <w:rFonts w:ascii="Times New Roman" w:hAnsi="Times New Roman"/>
          <w:sz w:val="26"/>
          <w:szCs w:val="26"/>
        </w:rPr>
      </w:pPr>
    </w:p>
    <w:p w:rsidR="00EA783D" w:rsidRPr="00245EF8" w:rsidRDefault="00EA783D" w:rsidP="00EA783D">
      <w:pPr>
        <w:spacing w:line="240" w:lineRule="auto"/>
        <w:jc w:val="both"/>
        <w:rPr>
          <w:rFonts w:ascii="Times New Roman" w:hAnsi="Times New Roman"/>
          <w:sz w:val="26"/>
          <w:szCs w:val="26"/>
        </w:rPr>
      </w:pPr>
    </w:p>
    <w:p w:rsidR="0033544F" w:rsidRDefault="0033544F"/>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p w:rsidR="00AB4FC3" w:rsidRDefault="00AB4FC3"/>
    <w:tbl>
      <w:tblPr>
        <w:tblStyle w:val="Tablaconcuadrcula1"/>
        <w:tblW w:w="10338" w:type="dxa"/>
        <w:tblInd w:w="-743" w:type="dxa"/>
        <w:tblLook w:val="04A0" w:firstRow="1" w:lastRow="0" w:firstColumn="1" w:lastColumn="0" w:noHBand="0" w:noVBand="1"/>
      </w:tblPr>
      <w:tblGrid>
        <w:gridCol w:w="1386"/>
        <w:gridCol w:w="1343"/>
        <w:gridCol w:w="1588"/>
        <w:gridCol w:w="1430"/>
        <w:gridCol w:w="1820"/>
        <w:gridCol w:w="1256"/>
        <w:gridCol w:w="1820"/>
      </w:tblGrid>
      <w:tr w:rsidR="009B328D" w:rsidRPr="00AB4FC3" w:rsidTr="009B328D">
        <w:tc>
          <w:tcPr>
            <w:tcW w:w="1386" w:type="dxa"/>
          </w:tcPr>
          <w:p w:rsidR="00AB4FC3" w:rsidRPr="00AB4FC3" w:rsidRDefault="00AB4FC3" w:rsidP="00AB4FC3">
            <w:pPr>
              <w:spacing w:after="0"/>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Resolución</w:t>
            </w:r>
          </w:p>
        </w:tc>
        <w:tc>
          <w:tcPr>
            <w:tcW w:w="1343" w:type="dxa"/>
          </w:tcPr>
          <w:p w:rsidR="00AB4FC3" w:rsidRPr="00AB4FC3" w:rsidRDefault="00AB4FC3" w:rsidP="00AB4FC3">
            <w:pPr>
              <w:spacing w:after="0"/>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Modalidad</w:t>
            </w:r>
          </w:p>
        </w:tc>
        <w:tc>
          <w:tcPr>
            <w:tcW w:w="1588" w:type="dxa"/>
          </w:tcPr>
          <w:p w:rsidR="00AB4FC3" w:rsidRPr="00AB4FC3" w:rsidRDefault="00AB4FC3" w:rsidP="00AB4FC3">
            <w:pPr>
              <w:spacing w:after="0"/>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Descriptor</w:t>
            </w:r>
          </w:p>
          <w:p w:rsidR="00AB4FC3" w:rsidRPr="00AB4FC3" w:rsidRDefault="00AB4FC3" w:rsidP="00AB4FC3">
            <w:pPr>
              <w:spacing w:after="0"/>
              <w:jc w:val="center"/>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1</w:t>
            </w:r>
          </w:p>
        </w:tc>
        <w:tc>
          <w:tcPr>
            <w:tcW w:w="1524" w:type="dxa"/>
          </w:tcPr>
          <w:p w:rsidR="00AB4FC3" w:rsidRPr="00AB4FC3" w:rsidRDefault="00AB4FC3" w:rsidP="00AB4FC3">
            <w:pPr>
              <w:spacing w:after="0"/>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Descriptor</w:t>
            </w:r>
          </w:p>
          <w:p w:rsidR="00AB4FC3" w:rsidRPr="00AB4FC3" w:rsidRDefault="00AB4FC3" w:rsidP="00AB4FC3">
            <w:pPr>
              <w:spacing w:after="0"/>
              <w:jc w:val="center"/>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2</w:t>
            </w:r>
          </w:p>
        </w:tc>
        <w:tc>
          <w:tcPr>
            <w:tcW w:w="1689" w:type="dxa"/>
          </w:tcPr>
          <w:p w:rsidR="00AB4FC3" w:rsidRPr="00AB4FC3" w:rsidRDefault="00AB4FC3" w:rsidP="00AB4FC3">
            <w:pPr>
              <w:spacing w:after="0"/>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Restrictor</w:t>
            </w:r>
          </w:p>
          <w:p w:rsidR="00AB4FC3" w:rsidRPr="00AB4FC3" w:rsidRDefault="00AB4FC3" w:rsidP="00AB4FC3">
            <w:pPr>
              <w:spacing w:after="0"/>
              <w:jc w:val="center"/>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1</w:t>
            </w:r>
          </w:p>
        </w:tc>
        <w:tc>
          <w:tcPr>
            <w:tcW w:w="1549" w:type="dxa"/>
          </w:tcPr>
          <w:p w:rsidR="00AB4FC3" w:rsidRPr="00AB4FC3" w:rsidRDefault="00AB4FC3" w:rsidP="00AB4FC3">
            <w:pPr>
              <w:spacing w:after="0"/>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Restrictor</w:t>
            </w:r>
          </w:p>
          <w:p w:rsidR="00AB4FC3" w:rsidRPr="00AB4FC3" w:rsidRDefault="00AB4FC3" w:rsidP="00AB4FC3">
            <w:pPr>
              <w:spacing w:after="0"/>
              <w:jc w:val="center"/>
              <w:rPr>
                <w:rFonts w:ascii="Times New Roman" w:eastAsia="Times New Roman" w:hAnsi="Times New Roman"/>
                <w:sz w:val="26"/>
                <w:szCs w:val="26"/>
                <w:lang w:eastAsia="es-ES"/>
              </w:rPr>
            </w:pPr>
            <w:r w:rsidRPr="00AB4FC3">
              <w:rPr>
                <w:rFonts w:ascii="Times New Roman" w:eastAsia="Times New Roman" w:hAnsi="Times New Roman"/>
                <w:sz w:val="26"/>
                <w:szCs w:val="26"/>
                <w:lang w:eastAsia="es-ES"/>
              </w:rPr>
              <w:t>2</w:t>
            </w:r>
          </w:p>
        </w:tc>
        <w:tc>
          <w:tcPr>
            <w:tcW w:w="1259" w:type="dxa"/>
            <w:shd w:val="clear" w:color="auto" w:fill="auto"/>
          </w:tcPr>
          <w:p w:rsidR="009B328D" w:rsidRPr="00AB4FC3" w:rsidRDefault="009B328D" w:rsidP="009B328D">
            <w:pPr>
              <w:spacing w:after="160" w:line="259" w:lineRule="auto"/>
              <w:rPr>
                <w:rFonts w:ascii="Times New Roman" w:eastAsia="Times New Roman" w:hAnsi="Times New Roman"/>
                <w:sz w:val="20"/>
                <w:szCs w:val="20"/>
                <w:lang w:eastAsia="es-ES"/>
              </w:rPr>
            </w:pPr>
            <w:r w:rsidRPr="009B328D">
              <w:rPr>
                <w:rFonts w:ascii="Times New Roman" w:eastAsia="Times New Roman" w:hAnsi="Times New Roman"/>
                <w:sz w:val="26"/>
                <w:szCs w:val="26"/>
                <w:lang w:eastAsia="es-ES"/>
              </w:rPr>
              <w:t>Restrictor 3</w:t>
            </w:r>
          </w:p>
        </w:tc>
      </w:tr>
      <w:tr w:rsidR="009B328D" w:rsidRPr="00AB4FC3" w:rsidTr="009B328D">
        <w:tc>
          <w:tcPr>
            <w:tcW w:w="1386" w:type="dxa"/>
          </w:tcPr>
          <w:p w:rsidR="00AB4FC3" w:rsidRPr="00AB4FC3" w:rsidRDefault="00AB4FC3" w:rsidP="00AB4FC3">
            <w:pPr>
              <w:spacing w:after="0"/>
              <w:rPr>
                <w:rFonts w:ascii="Times New Roman" w:eastAsia="Times New Roman" w:hAnsi="Times New Roman"/>
                <w:b/>
                <w:sz w:val="26"/>
                <w:szCs w:val="26"/>
                <w:lang w:eastAsia="es-ES"/>
              </w:rPr>
            </w:pPr>
            <w:r w:rsidRPr="00AB4FC3">
              <w:rPr>
                <w:rFonts w:ascii="Times New Roman" w:eastAsia="Times New Roman" w:hAnsi="Times New Roman"/>
                <w:b/>
                <w:sz w:val="26"/>
                <w:szCs w:val="26"/>
                <w:lang w:eastAsia="es-ES"/>
              </w:rPr>
              <w:t>Res TAT- 28</w:t>
            </w:r>
            <w:r>
              <w:rPr>
                <w:rFonts w:ascii="Times New Roman" w:eastAsia="Times New Roman" w:hAnsi="Times New Roman"/>
                <w:b/>
                <w:sz w:val="26"/>
                <w:szCs w:val="26"/>
                <w:lang w:eastAsia="es-ES"/>
              </w:rPr>
              <w:t>45</w:t>
            </w:r>
            <w:r w:rsidRPr="00AB4FC3">
              <w:rPr>
                <w:rFonts w:ascii="Times New Roman" w:eastAsia="Times New Roman" w:hAnsi="Times New Roman"/>
                <w:b/>
                <w:sz w:val="26"/>
                <w:szCs w:val="26"/>
                <w:lang w:eastAsia="es-ES"/>
              </w:rPr>
              <w:t>-201</w:t>
            </w:r>
            <w:r>
              <w:rPr>
                <w:rFonts w:ascii="Times New Roman" w:eastAsia="Times New Roman" w:hAnsi="Times New Roman"/>
                <w:b/>
                <w:sz w:val="26"/>
                <w:szCs w:val="26"/>
                <w:lang w:eastAsia="es-ES"/>
              </w:rPr>
              <w:t>5</w:t>
            </w:r>
          </w:p>
          <w:p w:rsidR="00AB4FC3" w:rsidRPr="00AB4FC3" w:rsidRDefault="00AB4FC3" w:rsidP="00AB4FC3">
            <w:pPr>
              <w:spacing w:after="0"/>
              <w:rPr>
                <w:rFonts w:ascii="Times New Roman" w:eastAsia="Times New Roman" w:hAnsi="Times New Roman"/>
                <w:b/>
                <w:sz w:val="26"/>
                <w:szCs w:val="26"/>
                <w:lang w:eastAsia="es-ES"/>
              </w:rPr>
            </w:pPr>
          </w:p>
        </w:tc>
        <w:tc>
          <w:tcPr>
            <w:tcW w:w="1343" w:type="dxa"/>
          </w:tcPr>
          <w:p w:rsidR="00AB4FC3" w:rsidRPr="00AB4FC3" w:rsidRDefault="00AB4FC3" w:rsidP="00AB4FC3">
            <w:pPr>
              <w:spacing w:after="0"/>
              <w:rPr>
                <w:rFonts w:ascii="Times New Roman" w:eastAsia="Times New Roman" w:hAnsi="Times New Roman"/>
                <w:b/>
                <w:sz w:val="26"/>
                <w:szCs w:val="26"/>
                <w:lang w:eastAsia="es-ES"/>
              </w:rPr>
            </w:pPr>
            <w:r w:rsidRPr="00AB4FC3">
              <w:rPr>
                <w:rFonts w:ascii="Times New Roman" w:eastAsia="Times New Roman" w:hAnsi="Times New Roman"/>
                <w:b/>
                <w:sz w:val="26"/>
                <w:szCs w:val="26"/>
                <w:lang w:eastAsia="es-ES"/>
              </w:rPr>
              <w:t>TAXI</w:t>
            </w:r>
          </w:p>
        </w:tc>
        <w:tc>
          <w:tcPr>
            <w:tcW w:w="1588" w:type="dxa"/>
          </w:tcPr>
          <w:p w:rsidR="00AB4FC3" w:rsidRPr="00AB4FC3" w:rsidRDefault="00AB4FC3" w:rsidP="00AB4FC3">
            <w:pPr>
              <w:spacing w:after="0"/>
              <w:rPr>
                <w:rFonts w:ascii="Times New Roman" w:eastAsia="Times New Roman" w:hAnsi="Times New Roman"/>
                <w:b/>
                <w:sz w:val="26"/>
                <w:szCs w:val="26"/>
                <w:lang w:eastAsia="es-ES"/>
              </w:rPr>
            </w:pPr>
            <w:r w:rsidRPr="00AB4FC3">
              <w:rPr>
                <w:rFonts w:ascii="Times New Roman" w:eastAsia="Times New Roman" w:hAnsi="Times New Roman"/>
                <w:b/>
                <w:sz w:val="26"/>
                <w:szCs w:val="26"/>
                <w:lang w:eastAsia="es-ES"/>
              </w:rPr>
              <w:t>Servicio público de transporte remunerado de personas</w:t>
            </w:r>
          </w:p>
        </w:tc>
        <w:tc>
          <w:tcPr>
            <w:tcW w:w="1524" w:type="dxa"/>
          </w:tcPr>
          <w:p w:rsidR="00AB4FC3" w:rsidRPr="00AB4FC3" w:rsidRDefault="00AB4FC3" w:rsidP="00AB4FC3">
            <w:pPr>
              <w:spacing w:after="0"/>
              <w:rPr>
                <w:rFonts w:ascii="Times New Roman" w:eastAsia="Times New Roman" w:hAnsi="Times New Roman"/>
                <w:b/>
                <w:sz w:val="26"/>
                <w:szCs w:val="26"/>
                <w:lang w:eastAsia="es-ES"/>
              </w:rPr>
            </w:pPr>
            <w:r>
              <w:rPr>
                <w:rFonts w:ascii="Times New Roman" w:eastAsia="Times New Roman" w:hAnsi="Times New Roman"/>
                <w:b/>
                <w:sz w:val="26"/>
                <w:szCs w:val="26"/>
                <w:lang w:eastAsia="es-ES"/>
              </w:rPr>
              <w:t>Caducidad</w:t>
            </w:r>
          </w:p>
        </w:tc>
        <w:tc>
          <w:tcPr>
            <w:tcW w:w="1689" w:type="dxa"/>
          </w:tcPr>
          <w:p w:rsidR="00AB4FC3" w:rsidRPr="00AB4FC3" w:rsidRDefault="009B328D" w:rsidP="009B328D">
            <w:pPr>
              <w:spacing w:after="0"/>
              <w:rPr>
                <w:rFonts w:ascii="Times New Roman" w:eastAsia="Times New Roman" w:hAnsi="Times New Roman"/>
                <w:b/>
                <w:sz w:val="26"/>
                <w:szCs w:val="26"/>
                <w:lang w:eastAsia="es-ES"/>
              </w:rPr>
            </w:pPr>
            <w:r>
              <w:rPr>
                <w:rFonts w:ascii="Times New Roman" w:eastAsia="Times New Roman" w:hAnsi="Times New Roman"/>
                <w:b/>
                <w:sz w:val="26"/>
                <w:szCs w:val="26"/>
                <w:lang w:eastAsia="es-ES"/>
              </w:rPr>
              <w:t>Caducidad del procedimiento</w:t>
            </w:r>
          </w:p>
        </w:tc>
        <w:tc>
          <w:tcPr>
            <w:tcW w:w="1549" w:type="dxa"/>
          </w:tcPr>
          <w:p w:rsidR="00AB4FC3" w:rsidRPr="00AB4FC3" w:rsidRDefault="009B328D" w:rsidP="00AB4FC3">
            <w:pPr>
              <w:spacing w:after="0"/>
              <w:rPr>
                <w:rFonts w:ascii="Times New Roman" w:eastAsia="Times New Roman" w:hAnsi="Times New Roman"/>
                <w:b/>
                <w:sz w:val="26"/>
                <w:szCs w:val="26"/>
                <w:lang w:eastAsia="es-ES"/>
              </w:rPr>
            </w:pPr>
            <w:r>
              <w:rPr>
                <w:rFonts w:ascii="Times New Roman" w:eastAsia="Times New Roman" w:hAnsi="Times New Roman"/>
                <w:b/>
                <w:sz w:val="26"/>
                <w:szCs w:val="26"/>
                <w:lang w:eastAsia="es-ES"/>
              </w:rPr>
              <w:t>Gestión de no posible ejecución</w:t>
            </w:r>
          </w:p>
        </w:tc>
        <w:tc>
          <w:tcPr>
            <w:tcW w:w="1259" w:type="dxa"/>
            <w:shd w:val="clear" w:color="auto" w:fill="auto"/>
          </w:tcPr>
          <w:p w:rsidR="009B328D" w:rsidRPr="009B328D" w:rsidRDefault="009B328D">
            <w:pPr>
              <w:spacing w:after="160" w:line="259" w:lineRule="auto"/>
              <w:rPr>
                <w:rFonts w:ascii="Times New Roman" w:eastAsia="Times New Roman" w:hAnsi="Times New Roman"/>
                <w:b/>
                <w:sz w:val="26"/>
                <w:szCs w:val="26"/>
                <w:lang w:eastAsia="es-ES"/>
              </w:rPr>
            </w:pPr>
            <w:bookmarkStart w:id="0" w:name="_GoBack"/>
            <w:r w:rsidRPr="009B328D">
              <w:rPr>
                <w:rFonts w:ascii="Times New Roman" w:eastAsia="Times New Roman" w:hAnsi="Times New Roman"/>
                <w:b/>
                <w:sz w:val="26"/>
                <w:szCs w:val="26"/>
                <w:lang w:eastAsia="es-ES"/>
              </w:rPr>
              <w:t>Paralización del procedimiento por más de seis meses</w:t>
            </w:r>
            <w:bookmarkEnd w:id="0"/>
          </w:p>
        </w:tc>
      </w:tr>
    </w:tbl>
    <w:p w:rsidR="00AB4FC3" w:rsidRDefault="00AB4FC3"/>
    <w:p w:rsidR="00AB4FC3" w:rsidRDefault="00AB4FC3"/>
    <w:p w:rsidR="00AB4FC3" w:rsidRDefault="00AB4FC3"/>
    <w:p w:rsidR="00AB4FC3" w:rsidRDefault="00AB4FC3"/>
    <w:sectPr w:rsidR="00AB4FC3"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50" w:rsidRDefault="00FB5850" w:rsidP="00EA783D">
      <w:pPr>
        <w:spacing w:after="0" w:line="240" w:lineRule="auto"/>
      </w:pPr>
      <w:r>
        <w:separator/>
      </w:r>
    </w:p>
  </w:endnote>
  <w:endnote w:type="continuationSeparator" w:id="0">
    <w:p w:rsidR="00FB5850" w:rsidRDefault="00FB5850" w:rsidP="00EA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50" w:rsidRDefault="00FB5850" w:rsidP="00EA783D">
      <w:pPr>
        <w:spacing w:after="0" w:line="240" w:lineRule="auto"/>
      </w:pPr>
      <w:r>
        <w:separator/>
      </w:r>
    </w:p>
  </w:footnote>
  <w:footnote w:type="continuationSeparator" w:id="0">
    <w:p w:rsidR="00FB5850" w:rsidRDefault="00FB5850" w:rsidP="00EA78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3D"/>
    <w:rsid w:val="002330B3"/>
    <w:rsid w:val="002F3898"/>
    <w:rsid w:val="0033544F"/>
    <w:rsid w:val="007A2ADE"/>
    <w:rsid w:val="00816288"/>
    <w:rsid w:val="009B328D"/>
    <w:rsid w:val="00AB4FC3"/>
    <w:rsid w:val="00E139F4"/>
    <w:rsid w:val="00E66701"/>
    <w:rsid w:val="00EA783D"/>
    <w:rsid w:val="00F47E39"/>
    <w:rsid w:val="00FB58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CEC6"/>
  <w15:chartTrackingRefBased/>
  <w15:docId w15:val="{BE29543B-1A8E-45D7-A319-7C78B1E7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783D"/>
    <w:pPr>
      <w:spacing w:after="200" w:line="276" w:lineRule="auto"/>
    </w:pPr>
    <w:rPr>
      <w:rFonts w:ascii="Calibri" w:eastAsia="Calibri" w:hAnsi="Calibri" w:cs="Times New Roman"/>
    </w:rPr>
  </w:style>
  <w:style w:type="paragraph" w:styleId="Ttulo1">
    <w:name w:val="heading 1"/>
    <w:basedOn w:val="Normal"/>
    <w:next w:val="Normal"/>
    <w:link w:val="Ttulo1Car"/>
    <w:qFormat/>
    <w:rsid w:val="00EA783D"/>
    <w:pPr>
      <w:keepNext/>
      <w:spacing w:after="0" w:line="240" w:lineRule="auto"/>
      <w:jc w:val="center"/>
      <w:outlineLvl w:val="0"/>
    </w:pPr>
    <w:rPr>
      <w:rFonts w:ascii="Times New Roman" w:eastAsia="Times New Roman" w:hAnsi="Times New Roman"/>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783D"/>
    <w:rPr>
      <w:rFonts w:ascii="Times New Roman" w:eastAsia="Times New Roman" w:hAnsi="Times New Roman" w:cs="Times New Roman"/>
      <w:sz w:val="28"/>
      <w:szCs w:val="20"/>
      <w:lang w:val="es-ES_tradnl" w:eastAsia="es-MX"/>
    </w:rPr>
  </w:style>
  <w:style w:type="paragraph" w:styleId="Sinespaciado">
    <w:name w:val="No Spacing"/>
    <w:link w:val="SinespaciadoCar"/>
    <w:uiPriority w:val="1"/>
    <w:qFormat/>
    <w:rsid w:val="00EA783D"/>
    <w:pPr>
      <w:spacing w:after="0" w:line="240" w:lineRule="auto"/>
    </w:pPr>
  </w:style>
  <w:style w:type="character" w:customStyle="1" w:styleId="SinespaciadoCar">
    <w:name w:val="Sin espaciado Car"/>
    <w:basedOn w:val="Fuentedeprrafopredeter"/>
    <w:link w:val="Sinespaciado"/>
    <w:uiPriority w:val="1"/>
    <w:rsid w:val="00EA783D"/>
  </w:style>
  <w:style w:type="character" w:customStyle="1" w:styleId="CharacterStyle1">
    <w:name w:val="Character Style 1"/>
    <w:uiPriority w:val="99"/>
    <w:rsid w:val="00EA783D"/>
    <w:rPr>
      <w:sz w:val="25"/>
      <w:szCs w:val="25"/>
    </w:rPr>
  </w:style>
  <w:style w:type="paragraph" w:styleId="NormalWeb">
    <w:name w:val="Normal (Web)"/>
    <w:basedOn w:val="Normal"/>
    <w:uiPriority w:val="99"/>
    <w:rsid w:val="00EA783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EA783D"/>
  </w:style>
  <w:style w:type="paragraph" w:styleId="Piedepgina">
    <w:name w:val="footer"/>
    <w:basedOn w:val="Normal"/>
    <w:link w:val="PiedepginaCar"/>
    <w:uiPriority w:val="99"/>
    <w:unhideWhenUsed/>
    <w:rsid w:val="00EA78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83D"/>
    <w:rPr>
      <w:rFonts w:ascii="Calibri" w:eastAsia="Calibri" w:hAnsi="Calibri" w:cs="Times New Roman"/>
    </w:rPr>
  </w:style>
  <w:style w:type="paragraph" w:styleId="Encabezado">
    <w:name w:val="header"/>
    <w:basedOn w:val="Normal"/>
    <w:link w:val="EncabezadoCar"/>
    <w:uiPriority w:val="99"/>
    <w:unhideWhenUsed/>
    <w:rsid w:val="00EA78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783D"/>
    <w:rPr>
      <w:rFonts w:ascii="Calibri" w:eastAsia="Calibri" w:hAnsi="Calibri" w:cs="Times New Roman"/>
    </w:rPr>
  </w:style>
  <w:style w:type="table" w:customStyle="1" w:styleId="Tablaconcuadrcula1">
    <w:name w:val="Tabla con cuadrícula1"/>
    <w:basedOn w:val="Tablanormal"/>
    <w:next w:val="Tablaconcuadrcula"/>
    <w:uiPriority w:val="39"/>
    <w:rsid w:val="00AB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B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3639</Words>
  <Characters>20017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cp:lastModifiedBy>
  <cp:revision>7</cp:revision>
  <dcterms:created xsi:type="dcterms:W3CDTF">2016-04-06T21:36:00Z</dcterms:created>
  <dcterms:modified xsi:type="dcterms:W3CDTF">2016-04-07T16:38:00Z</dcterms:modified>
</cp:coreProperties>
</file>